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산업용 화학제품 시험성적서(CoA) 양식</w:t>
      </w:r>
    </w:p>
    <w:p>
      <w:pPr>
        <w:pStyle w:val="Heading2"/>
      </w:pPr>
      <w:r>
        <w:t>작성 안내</w:t>
      </w:r>
    </w:p>
    <w:p>
      <w:pPr>
        <w:pStyle w:val="ListBullet"/>
      </w:pPr>
      <w:r>
        <w:t>로트마다 성적서 한 건을 씁니다. 성적서의 모든 결과는 섹션 2의 로트에만 해당합니다.</w:t>
      </w:r>
    </w:p>
    <w:p>
      <w:pPr>
        <w:pStyle w:val="ListBullet"/>
      </w:pPr>
      <w:r>
        <w:t>섹션 4는 고객 규격부터 채웁니다. 고객이 보유한 규격 개정판에서 시험 항목, 방법 번호와 판, 단위, 한계를 옮겨 적고, 결과는 그다음에 넣습니다.</w:t>
      </w:r>
    </w:p>
    <w:p>
      <w:pPr>
        <w:pStyle w:val="ListBullet"/>
      </w:pPr>
      <w:r>
        <w:t>결과마다 그 시험에 정한 반올림을 거친 보고값을 한계와 같은 단위로 적습니다. 단위는 결과 칸 안이 아니라 단위 열에 적습니다.</w:t>
      </w:r>
    </w:p>
    <w:p>
      <w:pPr>
        <w:pStyle w:val="ListBullet"/>
      </w:pPr>
      <w:r>
        <w:t>결과표 아래에 비교 규칙을 적습니다. 반올림 방법 또는 절대 방법(ASTM E29)과, 고객과 합의한 측정 불확도 판정 규칙이 있으면 그 규칙입니다.</w:t>
      </w:r>
    </w:p>
    <w:p>
      <w:pPr>
        <w:pStyle w:val="ListBullet"/>
      </w:pPr>
      <w:r>
        <w:t>한계를 벗어난 결과가 있으면 섹션 5의 선언에 해당 시험 항목을 적습니다. 불합격 결과가 있는데 일괄 적합 선언에 서명하지 않습니다.</w:t>
      </w:r>
    </w:p>
    <w:p>
      <w:pPr>
        <w:pStyle w:val="ListBullet"/>
      </w:pPr>
      <w:r>
        <w:t>다른 회사의 성적서를 재발행하면 섹션 1에 원 성적서 번호와 시험실을 적고 원본 사본을 첨부합니다.</w:t>
      </w:r>
    </w:p>
    <w:p>
      <w:pPr>
        <w:pStyle w:val="ListBullet"/>
      </w:pPr>
      <w:r>
        <w:t>체크 항목은 괄호 안에 X를 적어 표시합니다: [X].</w:t>
      </w:r>
    </w:p>
    <w:p>
      <w:pPr>
        <w:pStyle w:val="ListBullet"/>
      </w:pPr>
      <w:r>
        <w:t>마지막 쪽의 작성 예는 예시입니다. 제품, 규격, 값은 지어낸 것이며 어떤 제품의 한계도 아닙니다.</w:t>
      </w:r>
    </w:p>
    <w:p>
      <w:pPr>
        <w:pStyle w:val="ListBullet"/>
      </w:pPr>
      <w:r>
        <w:t>성적서를 발행하기 전에 이 안내를 지웁니다.</w:t>
      </w:r>
    </w:p>
    <w:p>
      <w:pPr>
        <w:pStyle w:val="Heading1"/>
      </w:pPr>
      <w:r>
        <w:t>시험성적서</w:t>
      </w:r>
    </w:p>
    <w:p>
      <w:pPr>
        <w:pStyle w:val="Heading2"/>
      </w:pPr>
      <w:r>
        <w:t>1. 성적서 식별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402"/>
          </w:tcPr>
          <w:p>
            <w:r>
              <w:rPr>
                <w:b/>
                <w:sz w:val="18"/>
              </w:rPr>
              <w:t>항목</w:t>
            </w:r>
          </w:p>
        </w:tc>
        <w:tc>
          <w:tcPr>
            <w:tcW w:type="dxa" w:w="1984"/>
          </w:tcPr>
          <w:p>
            <w:r>
              <w:rPr>
                <w:b/>
                <w:sz w:val="18"/>
              </w:rPr>
              <w:t>단위 또는 형식</w:t>
            </w:r>
          </w:p>
        </w:tc>
        <w:tc>
          <w:tcPr>
            <w:tcW w:type="dxa" w:w="4252"/>
          </w:tcPr>
          <w:p>
            <w:r>
              <w:rPr>
                <w:b/>
                <w:sz w:val="18"/>
              </w:rPr>
              <w:t>기재</w:t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1.1 성적서 번호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텍스트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1.2 발행 회사와 시험실, 주소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텍스트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1.3 발행일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YYYY-MM-DD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1.4 원 성적서 번호와 시험실(재발행 성적서만)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텍스트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2. 제품과 로트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402"/>
          </w:tcPr>
          <w:p>
            <w:r>
              <w:rPr>
                <w:b/>
                <w:sz w:val="18"/>
              </w:rPr>
              <w:t>항목</w:t>
            </w:r>
          </w:p>
        </w:tc>
        <w:tc>
          <w:tcPr>
            <w:tcW w:type="dxa" w:w="1984"/>
          </w:tcPr>
          <w:p>
            <w:r>
              <w:rPr>
                <w:b/>
                <w:sz w:val="18"/>
              </w:rPr>
              <w:t>단위 또는 형식</w:t>
            </w:r>
          </w:p>
        </w:tc>
        <w:tc>
          <w:tcPr>
            <w:tcW w:type="dxa" w:w="4252"/>
          </w:tcPr>
          <w:p>
            <w:r>
              <w:rPr>
                <w:b/>
                <w:sz w:val="18"/>
              </w:rPr>
              <w:t>기재</w:t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2.1 제품명과 등급(주문서에 적힌 대로)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텍스트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2.2 제품 코드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텍스트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2.3 로트 또는 배치 번호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텍스트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2.4 제조일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YYYY-MM-DD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2.5 재시험일 또는 유효기한(제품에 있는 경우)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YYYY-MM-DD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2.6 수량과 포장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kg, L 또는 개수, 포장 형태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3. 수령처와 주문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402"/>
          </w:tcPr>
          <w:p>
            <w:r>
              <w:rPr>
                <w:b/>
                <w:sz w:val="18"/>
              </w:rPr>
              <w:t>항목</w:t>
            </w:r>
          </w:p>
        </w:tc>
        <w:tc>
          <w:tcPr>
            <w:tcW w:type="dxa" w:w="1984"/>
          </w:tcPr>
          <w:p>
            <w:r>
              <w:rPr>
                <w:b/>
                <w:sz w:val="18"/>
              </w:rPr>
              <w:t>단위 또는 형식</w:t>
            </w:r>
          </w:p>
        </w:tc>
        <w:tc>
          <w:tcPr>
            <w:tcW w:type="dxa" w:w="4252"/>
          </w:tcPr>
          <w:p>
            <w:r>
              <w:rPr>
                <w:b/>
                <w:sz w:val="18"/>
              </w:rPr>
              <w:t>기재</w:t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3.1 고객 이름과 수령 현장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텍스트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3.2 구매 주문 번호와 품목 행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텍스트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3.3 납품서 또는 포장 명세서 참조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텍스트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4. 규격 대비 결과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402"/>
          </w:tcPr>
          <w:p>
            <w:r>
              <w:rPr>
                <w:b/>
                <w:sz w:val="18"/>
              </w:rPr>
              <w:t>항목</w:t>
            </w:r>
          </w:p>
        </w:tc>
        <w:tc>
          <w:tcPr>
            <w:tcW w:type="dxa" w:w="1984"/>
          </w:tcPr>
          <w:p>
            <w:r>
              <w:rPr>
                <w:b/>
                <w:sz w:val="18"/>
              </w:rPr>
              <w:t>단위 또는 형식</w:t>
            </w:r>
          </w:p>
        </w:tc>
        <w:tc>
          <w:tcPr>
            <w:tcW w:type="dxa" w:w="4252"/>
          </w:tcPr>
          <w:p>
            <w:r>
              <w:rPr>
                <w:b/>
                <w:sz w:val="18"/>
              </w:rPr>
              <w:t>기재</w:t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4.1 규격 번호와 개정판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텍스트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4.2 분석일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YYYY-MM-DD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928"/>
          </w:tcPr>
          <w:p>
            <w:r>
              <w:rPr>
                <w:b/>
                <w:sz w:val="18"/>
              </w:rPr>
              <w:t>시험 항목</w:t>
            </w:r>
          </w:p>
        </w:tc>
        <w:tc>
          <w:tcPr>
            <w:tcW w:type="dxa" w:w="1928"/>
          </w:tcPr>
          <w:p>
            <w:r>
              <w:rPr>
                <w:b/>
                <w:sz w:val="18"/>
              </w:rPr>
              <w:t>방법 번호와 판</w:t>
            </w:r>
          </w:p>
        </w:tc>
        <w:tc>
          <w:tcPr>
            <w:tcW w:type="dxa" w:w="1020"/>
          </w:tcPr>
          <w:p>
            <w:r>
              <w:rPr>
                <w:b/>
                <w:sz w:val="18"/>
              </w:rPr>
              <w:t>단위</w:t>
            </w:r>
          </w:p>
        </w:tc>
        <w:tc>
          <w:tcPr>
            <w:tcW w:type="dxa" w:w="1701"/>
          </w:tcPr>
          <w:p>
            <w:r>
              <w:rPr>
                <w:b/>
                <w:sz w:val="18"/>
              </w:rPr>
              <w:t>한계(최소 / 최대)</w:t>
            </w:r>
          </w:p>
        </w:tc>
        <w:tc>
          <w:tcPr>
            <w:tcW w:type="dxa" w:w="1701"/>
          </w:tcPr>
          <w:p>
            <w:r>
              <w:rPr>
                <w:b/>
                <w:sz w:val="18"/>
              </w:rPr>
              <w:t>보고 결과</w:t>
            </w:r>
          </w:p>
        </w:tc>
        <w:tc>
          <w:tcPr>
            <w:tcW w:type="dxa" w:w="1361"/>
          </w:tcPr>
          <w:p>
            <w:r>
              <w:rPr>
                <w:b/>
                <w:sz w:val="18"/>
              </w:rPr>
              <w:t>적합(Y/N)</w:t>
            </w:r>
          </w:p>
        </w:tc>
      </w:tr>
      <w:tr>
        <w:trPr>
          <w:trHeight w:val="510"/>
        </w:trPr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361"/>
          </w:tcPr>
          <w:p/>
        </w:tc>
      </w:tr>
      <w:tr>
        <w:trPr>
          <w:trHeight w:val="510"/>
        </w:trPr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361"/>
          </w:tcPr>
          <w:p/>
        </w:tc>
      </w:tr>
      <w:tr>
        <w:trPr>
          <w:trHeight w:val="510"/>
        </w:trPr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361"/>
          </w:tcPr>
          <w:p/>
        </w:tc>
      </w:tr>
      <w:tr>
        <w:trPr>
          <w:trHeight w:val="510"/>
        </w:trPr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361"/>
          </w:tcPr>
          <w:p/>
        </w:tc>
      </w:tr>
      <w:tr>
        <w:trPr>
          <w:trHeight w:val="510"/>
        </w:trPr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361"/>
          </w:tcPr>
          <w:p/>
        </w:tc>
      </w:tr>
      <w:tr>
        <w:trPr>
          <w:trHeight w:val="510"/>
        </w:trPr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361"/>
          </w:tcPr>
          <w:p/>
        </w:tc>
      </w:tr>
      <w:tr>
        <w:trPr>
          <w:trHeight w:val="510"/>
        </w:trPr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361"/>
          </w:tcPr>
          <w:p/>
        </w:tc>
      </w:tr>
      <w:tr>
        <w:trPr>
          <w:trHeight w:val="510"/>
        </w:trPr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361"/>
          </w:tcPr>
          <w:p/>
        </w:tc>
      </w:tr>
      <w:tr>
        <w:trPr>
          <w:trHeight w:val="510"/>
        </w:trPr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361"/>
          </w:tcPr>
          <w:p/>
        </w:tc>
      </w:tr>
      <w:tr>
        <w:trPr>
          <w:trHeight w:val="510"/>
        </w:trPr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361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402"/>
          </w:tcPr>
          <w:p>
            <w:r>
              <w:rPr>
                <w:b/>
                <w:sz w:val="18"/>
              </w:rPr>
              <w:t>항목</w:t>
            </w:r>
          </w:p>
        </w:tc>
        <w:tc>
          <w:tcPr>
            <w:tcW w:type="dxa" w:w="1984"/>
          </w:tcPr>
          <w:p>
            <w:r>
              <w:rPr>
                <w:b/>
                <w:sz w:val="18"/>
              </w:rPr>
              <w:t>단위 또는 형식</w:t>
            </w:r>
          </w:p>
        </w:tc>
        <w:tc>
          <w:tcPr>
            <w:tcW w:type="dxa" w:w="4252"/>
          </w:tcPr>
          <w:p>
            <w:r>
              <w:rPr>
                <w:b/>
                <w:sz w:val="18"/>
              </w:rPr>
              <w:t>기재</w:t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4.3 비교 규칙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반올림 방법 / 절대 방법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4.4 측정 불확도 판정 규칙(합의한 경우)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텍스트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5. 적합 선언과 승인</w:t>
      </w:r>
    </w:p>
    <w:p>
      <w:r>
        <w:t>5.1 적합 선언(규격과 개정판, 한계를 벗어난 시험 항목을 적습니다):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402"/>
          </w:tcPr>
          <w:p>
            <w:r>
              <w:rPr>
                <w:b/>
                <w:sz w:val="18"/>
              </w:rPr>
              <w:t>항목</w:t>
            </w:r>
          </w:p>
        </w:tc>
        <w:tc>
          <w:tcPr>
            <w:tcW w:type="dxa" w:w="1984"/>
          </w:tcPr>
          <w:p>
            <w:r>
              <w:rPr>
                <w:b/>
                <w:sz w:val="18"/>
              </w:rPr>
              <w:t>단위 또는 형식</w:t>
            </w:r>
          </w:p>
        </w:tc>
        <w:tc>
          <w:tcPr>
            <w:tcW w:type="dxa" w:w="4252"/>
          </w:tcPr>
          <w:p>
            <w:r>
              <w:rPr>
                <w:b/>
                <w:sz w:val="18"/>
              </w:rPr>
              <w:t>기재</w:t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5.2 승인자(이름)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텍스트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5.3 역할(기본은 생산 부서 밖)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텍스트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5.4 날짜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YYYY-MM-DD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5.5 서명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</w:tbl>
    <w:p/>
    <w:p>
      <w:r>
        <w:t>서명 전 확인:</w:t>
      </w:r>
    </w:p>
    <w:p>
      <w:r>
        <w:t>[ ] 로트 번호가 배치 기록, 포장 명세서와 일치함</w:t>
      </w:r>
    </w:p>
    <w:p>
      <w:r>
        <w:t>[ ] 제품명과 등급이 주문서, TDS와 일치함</w:t>
      </w:r>
    </w:p>
    <w:p>
      <w:r>
        <w:t>[ ] 4.1 규격 개정판의 모든 시험 항목에 결과가 있음</w:t>
      </w:r>
    </w:p>
    <w:p>
      <w:r>
        <w:t>[ ] 모든 결과에 판을 붙인 방법과 한계에 맞는 단위가 있음</w:t>
      </w:r>
    </w:p>
    <w:p>
      <w:r>
        <w:t>[ ] 적합 열이 4.3의 규칙을 따름</w:t>
      </w:r>
    </w:p>
    <w:p>
      <w:r>
        <w:t>[ ] 5.1의 선언이 적합 열과 맞음</w:t>
      </w:r>
    </w:p>
    <w:p>
      <w:r>
        <w:br w:type="page"/>
      </w:r>
    </w:p>
    <w:p>
      <w:pPr>
        <w:pStyle w:val="Heading2"/>
      </w:pPr>
      <w:r>
        <w:t>작성 예(지어낸 값이며 실제 사례가 아님)</w:t>
      </w:r>
    </w:p>
    <w:p>
      <w:r>
        <w:t>유압유 로트입니다. 아래의 이름, 번호, 날짜, 한계는 모두 예시이며 어떤 제품의 한계도 아닙니다.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118"/>
          </w:tcPr>
          <w:p>
            <w:r>
              <w:rPr>
                <w:b/>
                <w:sz w:val="18"/>
              </w:rPr>
              <w:t>항목</w:t>
            </w:r>
          </w:p>
        </w:tc>
        <w:tc>
          <w:tcPr>
            <w:tcW w:type="dxa" w:w="6520"/>
          </w:tcPr>
          <w:p>
            <w:r>
              <w:rPr>
                <w:b/>
                <w:sz w:val="18"/>
              </w:rPr>
              <w:t>기재(예시)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  <w:t>1.1 성적서 번호</w:t>
            </w:r>
          </w:p>
        </w:tc>
        <w:tc>
          <w:tcPr>
            <w:tcW w:type="dxa" w:w="6520"/>
          </w:tcPr>
          <w:p>
            <w:r>
              <w:rPr>
                <w:sz w:val="18"/>
              </w:rPr>
              <w:t>CoA-2026-0412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  <w:t>1.3 발행일</w:t>
            </w:r>
          </w:p>
        </w:tc>
        <w:tc>
          <w:tcPr>
            <w:tcW w:type="dxa" w:w="6520"/>
          </w:tcPr>
          <w:p>
            <w:r>
              <w:rPr>
                <w:sz w:val="18"/>
              </w:rPr>
              <w:t>2026-10-08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  <w:t>2.1 제품명과 등급</w:t>
            </w:r>
          </w:p>
        </w:tc>
        <w:tc>
          <w:tcPr>
            <w:tcW w:type="dxa" w:w="6520"/>
          </w:tcPr>
          <w:p>
            <w:r>
              <w:rPr>
                <w:sz w:val="18"/>
              </w:rPr>
              <w:t>유압유, ISO VG 46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  <w:t>2.2 제품 코드</w:t>
            </w:r>
          </w:p>
        </w:tc>
        <w:tc>
          <w:tcPr>
            <w:tcW w:type="dxa" w:w="6520"/>
          </w:tcPr>
          <w:p>
            <w:r>
              <w:rPr>
                <w:sz w:val="18"/>
              </w:rPr>
              <w:t>HF46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  <w:t>2.3 로트 번호</w:t>
            </w:r>
          </w:p>
        </w:tc>
        <w:tc>
          <w:tcPr>
            <w:tcW w:type="dxa" w:w="6520"/>
          </w:tcPr>
          <w:p>
            <w:r>
              <w:rPr>
                <w:sz w:val="18"/>
              </w:rPr>
              <w:t>26-1192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  <w:t>2.4와 2.5 날짜</w:t>
            </w:r>
          </w:p>
        </w:tc>
        <w:tc>
          <w:tcPr>
            <w:tcW w:type="dxa" w:w="6520"/>
          </w:tcPr>
          <w:p>
            <w:r>
              <w:rPr>
                <w:sz w:val="18"/>
              </w:rPr>
              <w:t>제조 2026-09-30, 재시험 2028-09-30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  <w:t>2.6 수량과 포장</w:t>
            </w:r>
          </w:p>
        </w:tc>
        <w:tc>
          <w:tcPr>
            <w:tcW w:type="dxa" w:w="6520"/>
          </w:tcPr>
          <w:p>
            <w:r>
              <w:rPr>
                <w:sz w:val="18"/>
              </w:rPr>
              <w:t>16,000 kg, 드럼 80개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  <w:t>3.2 구매 주문</w:t>
            </w:r>
          </w:p>
        </w:tc>
        <w:tc>
          <w:tcPr>
            <w:tcW w:type="dxa" w:w="6520"/>
          </w:tcPr>
          <w:p>
            <w:r>
              <w:rPr>
                <w:sz w:val="18"/>
              </w:rPr>
              <w:t>PO 4500123 2행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  <w:t>4.1 규격</w:t>
            </w:r>
          </w:p>
        </w:tc>
        <w:tc>
          <w:tcPr>
            <w:tcW w:type="dxa" w:w="6520"/>
          </w:tcPr>
          <w:p>
            <w:r>
              <w:rPr>
                <w:sz w:val="18"/>
              </w:rPr>
              <w:t>고객 규격 QS-12 개정 C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  <w:t>4.3 비교 규칙</w:t>
            </w:r>
          </w:p>
        </w:tc>
        <w:tc>
          <w:tcPr>
            <w:tcW w:type="dxa" w:w="6520"/>
          </w:tcPr>
          <w:p>
            <w:r>
              <w:rPr>
                <w:sz w:val="18"/>
              </w:rPr>
              <w:t>반올림 방법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2041"/>
          </w:tcPr>
          <w:p>
            <w:r>
              <w:rPr>
                <w:b/>
                <w:sz w:val="18"/>
              </w:rPr>
              <w:t>시험 항목</w:t>
            </w:r>
          </w:p>
        </w:tc>
        <w:tc>
          <w:tcPr>
            <w:tcW w:type="dxa" w:w="1701"/>
          </w:tcPr>
          <w:p>
            <w:r>
              <w:rPr>
                <w:b/>
                <w:sz w:val="18"/>
              </w:rPr>
              <w:t>방법</w:t>
            </w:r>
          </w:p>
        </w:tc>
        <w:tc>
          <w:tcPr>
            <w:tcW w:type="dxa" w:w="1134"/>
          </w:tcPr>
          <w:p>
            <w:r>
              <w:rPr>
                <w:b/>
                <w:sz w:val="18"/>
              </w:rPr>
              <w:t>단위</w:t>
            </w:r>
          </w:p>
        </w:tc>
        <w:tc>
          <w:tcPr>
            <w:tcW w:type="dxa" w:w="1587"/>
          </w:tcPr>
          <w:p>
            <w:r>
              <w:rPr>
                <w:b/>
                <w:sz w:val="18"/>
              </w:rPr>
              <w:t>한계</w:t>
            </w:r>
          </w:p>
        </w:tc>
        <w:tc>
          <w:tcPr>
            <w:tcW w:type="dxa" w:w="1587"/>
          </w:tcPr>
          <w:p>
            <w:r>
              <w:rPr>
                <w:b/>
                <w:sz w:val="18"/>
              </w:rPr>
              <w:t>결과</w:t>
            </w:r>
          </w:p>
        </w:tc>
        <w:tc>
          <w:tcPr>
            <w:tcW w:type="dxa" w:w="1587"/>
          </w:tcPr>
          <w:p>
            <w:r>
              <w:rPr>
                <w:b/>
                <w:sz w:val="18"/>
              </w:rPr>
              <w:t>적합</w:t>
            </w:r>
          </w:p>
        </w:tc>
      </w:tr>
      <w:tr>
        <w:tc>
          <w:tcPr>
            <w:tcW w:type="dxa" w:w="2041"/>
          </w:tcPr>
          <w:p>
            <w:r>
              <w:rPr>
                <w:sz w:val="18"/>
              </w:rPr>
              <w:t>40 C 동점도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ASTM D445-26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mm2/s</w:t>
            </w:r>
          </w:p>
        </w:tc>
        <w:tc>
          <w:tcPr>
            <w:tcW w:type="dxa" w:w="1587"/>
          </w:tcPr>
          <w:p>
            <w:r>
              <w:rPr>
                <w:sz w:val="18"/>
              </w:rPr>
              <w:t>43.0~49.0</w:t>
            </w:r>
          </w:p>
        </w:tc>
        <w:tc>
          <w:tcPr>
            <w:tcW w:type="dxa" w:w="1587"/>
          </w:tcPr>
          <w:p>
            <w:r>
              <w:rPr>
                <w:sz w:val="18"/>
              </w:rPr>
              <w:t>46.1</w:t>
            </w:r>
          </w:p>
        </w:tc>
        <w:tc>
          <w:tcPr>
            <w:tcW w:type="dxa" w:w="1587"/>
          </w:tcPr>
          <w:p>
            <w:r>
              <w:rPr>
                <w:sz w:val="18"/>
              </w:rPr>
              <w:t>Y</w:t>
            </w:r>
          </w:p>
        </w:tc>
      </w:tr>
      <w:tr>
        <w:tc>
          <w:tcPr>
            <w:tcW w:type="dxa" w:w="2041"/>
          </w:tcPr>
          <w:p>
            <w:r>
              <w:rPr>
                <w:sz w:val="18"/>
              </w:rPr>
              <w:t>수분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ASTM D6304-25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%</w:t>
            </w:r>
          </w:p>
        </w:tc>
        <w:tc>
          <w:tcPr>
            <w:tcW w:type="dxa" w:w="1587"/>
          </w:tcPr>
          <w:p>
            <w:r>
              <w:rPr>
                <w:sz w:val="18"/>
              </w:rPr>
              <w:t>최대 0.05</w:t>
            </w:r>
          </w:p>
        </w:tc>
        <w:tc>
          <w:tcPr>
            <w:tcW w:type="dxa" w:w="1587"/>
          </w:tcPr>
          <w:p>
            <w:r>
              <w:rPr>
                <w:sz w:val="18"/>
              </w:rPr>
              <w:t>0.03</w:t>
            </w:r>
          </w:p>
        </w:tc>
        <w:tc>
          <w:tcPr>
            <w:tcW w:type="dxa" w:w="1587"/>
          </w:tcPr>
          <w:p>
            <w:r>
              <w:rPr>
                <w:sz w:val="18"/>
              </w:rPr>
              <w:t>Y</w:t>
            </w:r>
          </w:p>
        </w:tc>
      </w:tr>
      <w:tr>
        <w:tc>
          <w:tcPr>
            <w:tcW w:type="dxa" w:w="2041"/>
          </w:tcPr>
          <w:p>
            <w:r>
              <w:rPr>
                <w:sz w:val="18"/>
              </w:rPr>
              <w:t>산가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ASTM D664-24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mg KOH/g</w:t>
            </w:r>
          </w:p>
        </w:tc>
        <w:tc>
          <w:tcPr>
            <w:tcW w:type="dxa" w:w="1587"/>
          </w:tcPr>
          <w:p>
            <w:r>
              <w:rPr>
                <w:sz w:val="18"/>
              </w:rPr>
              <w:t>최대 0.10</w:t>
            </w:r>
          </w:p>
        </w:tc>
        <w:tc>
          <w:tcPr>
            <w:tcW w:type="dxa" w:w="1587"/>
          </w:tcPr>
          <w:p>
            <w:r>
              <w:rPr>
                <w:sz w:val="18"/>
              </w:rPr>
              <w:t>0.12</w:t>
            </w:r>
          </w:p>
        </w:tc>
        <w:tc>
          <w:tcPr>
            <w:tcW w:type="dxa" w:w="1587"/>
          </w:tcPr>
          <w:p>
            <w:r>
              <w:rPr>
                <w:sz w:val="18"/>
              </w:rPr>
              <w:t>N</w:t>
            </w:r>
          </w:p>
        </w:tc>
      </w:tr>
      <w:tr>
        <w:tc>
          <w:tcPr>
            <w:tcW w:type="dxa" w:w="2041"/>
          </w:tcPr>
          <w:p>
            <w:r>
              <w:rPr>
                <w:sz w:val="18"/>
              </w:rPr>
              <w:t>외관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육안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  <w:t>맑고 투명</w:t>
            </w:r>
          </w:p>
        </w:tc>
        <w:tc>
          <w:tcPr>
            <w:tcW w:type="dxa" w:w="1587"/>
          </w:tcPr>
          <w:p>
            <w:r>
              <w:rPr>
                <w:sz w:val="18"/>
              </w:rPr>
              <w:t>맑고 투명</w:t>
            </w:r>
          </w:p>
        </w:tc>
        <w:tc>
          <w:tcPr>
            <w:tcW w:type="dxa" w:w="1587"/>
          </w:tcPr>
          <w:p>
            <w:r>
              <w:rPr>
                <w:sz w:val="18"/>
              </w:rPr>
              <w:t>Y</w:t>
            </w:r>
          </w:p>
        </w:tc>
      </w:tr>
    </w:tbl>
    <w:p/>
    <w:p>
      <w:r>
        <w:t>5.1 선언(예시): 로트 26-1192는 고객 규격 QS-12 개정 C에 부적합함. 산가 0.12 mg KOH/g, 한계 최대 0.10 mg KOH/g. 그 밖의 시험 항목은 모두 적합함.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134" w:right="1134" w:bottom="2154" w:left="1134" w:header="720" w:footer="10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양식 출처: www.lubinpla.com/ko/post/certificate-of-analysis-template-industrial-chemical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cstheme="minorBidi" w:eastAsia="Malgun Gothic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20"/>
      <w:lang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  <w:lang w:eastAsia="ko-K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cstheme="majorBidi" w:eastAsia="Malgun Gothic"/>
      <w:b/>
      <w:bCs/>
      <w:color w:val="4F81BD" w:themeColor="accent1"/>
      <w:sz w:val="26"/>
      <w:szCs w:val="26"/>
      <w:lang w:eastAsia="ko-K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cstheme="majorBidi" w:eastAsia="Malgun Gothic"/>
      <w:b/>
      <w:bCs/>
      <w:color w:val="4F81BD" w:themeColor="accent1"/>
      <w:lang w:eastAsia="ko-K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cstheme="majorBidi" w:eastAsia="Malgun Gothic"/>
      <w:b/>
      <w:bCs/>
      <w:i/>
      <w:iCs/>
      <w:color w:val="4F81BD" w:themeColor="accent1"/>
      <w:lang w:eastAsia="ko-K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cstheme="majorBidi" w:eastAsia="Malgun Gothic"/>
      <w:color w:val="243F60" w:themeColor="accent1" w:themeShade="7F"/>
      <w:lang w:eastAsia="ko-K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cstheme="majorBidi" w:eastAsia="Malgun Gothic"/>
      <w:i/>
      <w:iCs/>
      <w:color w:val="243F60" w:themeColor="accent1" w:themeShade="7F"/>
      <w:lang w:eastAsia="ko-K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cstheme="majorBidi" w:eastAsia="Malgun Gothic"/>
      <w:i/>
      <w:iCs/>
      <w:color w:val="404040" w:themeColor="text1" w:themeTint="BF"/>
      <w:lang w:eastAsia="ko-K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cstheme="majorBidi" w:eastAsia="Malgun Gothic"/>
      <w:color w:val="4F81BD" w:themeColor="accent1"/>
      <w:sz w:val="20"/>
      <w:szCs w:val="20"/>
      <w:lang w:eastAsia="ko-K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  <w:lang w:eastAsia="ko-KR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  <w:sz w:val="26"/>
      <w:szCs w:val="26"/>
      <w:lang w:eastAsia="ko-KR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  <w:lang w:eastAsia="ko-KR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  <w:lang w:eastAsia="ko-K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  <w:lang w:eastAsia="ko-KR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  <w:lang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  <w:lang w:eastAsia="ko-KR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eastAsia="Malgun Gothic"/>
      <w:sz w:val="16"/>
      <w:szCs w:val="16"/>
      <w:lang w:eastAsia="ko-KR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eastAsia="Malgun Gothic"/>
      <w:sz w:val="16"/>
      <w:szCs w:val="16"/>
      <w:lang w:eastAsia="ko-KR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  <w:lang w:eastAsia="ko-KR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 w:eastAsia="Malgun Gothic"/>
      <w:sz w:val="20"/>
      <w:szCs w:val="20"/>
      <w:lang w:eastAsia="ko-KR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eastAsia="Malgun Gothic"/>
      <w:i/>
      <w:iCs/>
      <w:color w:val="000000" w:themeColor="text1"/>
      <w:lang w:eastAsia="ko-KR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eastAsia="Malgun Gothic"/>
      <w:i/>
      <w:iCs/>
      <w:color w:val="000000" w:themeColor="text1"/>
      <w:lang w:eastAsia="ko-K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cstheme="majorBidi" w:eastAsia="Malgun Gothic"/>
      <w:b/>
      <w:bCs/>
      <w:i/>
      <w:iCs/>
      <w:color w:val="4F81BD" w:themeColor="accent1"/>
      <w:lang w:eastAsia="ko-K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cstheme="majorBidi" w:eastAsia="Malgun Gothic"/>
      <w:color w:val="243F60" w:themeColor="accent1" w:themeShade="7F"/>
      <w:lang w:eastAsia="ko-K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cstheme="majorBidi" w:eastAsia="Malgun Gothic"/>
      <w:i/>
      <w:iCs/>
      <w:color w:val="243F60" w:themeColor="accent1" w:themeShade="7F"/>
      <w:lang w:eastAsia="ko-K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  <w:lang w:eastAsia="ko-K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cstheme="majorBidi" w:eastAsia="Malgun Gothic"/>
      <w:color w:val="4F81BD" w:themeColor="accent1"/>
      <w:sz w:val="20"/>
      <w:szCs w:val="20"/>
      <w:lang w:eastAsia="ko-K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  <w:lang w:eastAsia="ko-KR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eastAsia="Malgun Gothic"/>
      <w:b/>
      <w:bCs/>
      <w:color w:val="4F81BD" w:themeColor="accent1"/>
      <w:sz w:val="18"/>
      <w:szCs w:val="18"/>
      <w:lang w:eastAsia="ko-KR"/>
    </w:rPr>
  </w:style>
  <w:style w:type="character" w:styleId="Strong">
    <w:name w:val="Strong"/>
    <w:basedOn w:val="DefaultParagraphFont"/>
    <w:uiPriority w:val="22"/>
    <w:qFormat/>
    <w:rsid w:val="00FC693F"/>
    <w:rPr>
      <w:rFonts w:eastAsia="Malgun Gothic"/>
      <w:b/>
      <w:bCs/>
      <w:lang w:eastAsia="ko-KR"/>
    </w:rPr>
  </w:style>
  <w:style w:type="character" w:styleId="Emphasis">
    <w:name w:val="Emphasis"/>
    <w:basedOn w:val="DefaultParagraphFont"/>
    <w:uiPriority w:val="20"/>
    <w:qFormat/>
    <w:rsid w:val="00FC693F"/>
    <w:rPr>
      <w:rFonts w:eastAsia="Malgun Gothic"/>
      <w:i/>
      <w:iCs/>
      <w:lang w:eastAsia="ko-KR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="Malgun Gothic"/>
      <w:b/>
      <w:bCs/>
      <w:i/>
      <w:iCs/>
      <w:color w:val="4F81BD" w:themeColor="accent1"/>
      <w:lang w:eastAsia="ko-K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eastAsia="Malgun Gothic"/>
      <w:b/>
      <w:bCs/>
      <w:i/>
      <w:iCs/>
      <w:color w:val="4F81BD" w:themeColor="accent1"/>
      <w:lang w:eastAsia="ko-KR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eastAsia="Malgun Gothic"/>
      <w:i/>
      <w:iCs/>
      <w:color w:val="808080" w:themeColor="text1" w:themeTint="7F"/>
      <w:lang w:eastAsia="ko-KR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eastAsia="Malgun Gothic"/>
      <w:b/>
      <w:bCs/>
      <w:i/>
      <w:iCs/>
      <w:color w:val="4F81BD" w:themeColor="accent1"/>
      <w:lang w:eastAsia="ko-KR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eastAsia="Malgun Gothic"/>
      <w:smallCaps/>
      <w:color w:val="C0504D" w:themeColor="accent2"/>
      <w:u w:val="single"/>
      <w:lang w:eastAsia="ko-KR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eastAsia="Malgun Gothic"/>
      <w:b/>
      <w:bCs/>
      <w:smallCaps/>
      <w:color w:val="C0504D" w:themeColor="accent2"/>
      <w:spacing w:val="5"/>
      <w:u w:val="single"/>
      <w:lang w:eastAsia="ko-KR"/>
    </w:rPr>
  </w:style>
  <w:style w:type="character" w:styleId="BookTitle">
    <w:name w:val="Book Title"/>
    <w:basedOn w:val="DefaultParagraphFont"/>
    <w:uiPriority w:val="33"/>
    <w:qFormat/>
    <w:rsid w:val="00FC693F"/>
    <w:rPr>
      <w:rFonts w:eastAsia="Malgun Gothic"/>
      <w:b/>
      <w:bCs/>
      <w:smallCaps/>
      <w:spacing w:val="5"/>
      <w:lang w:eastAsia="ko-K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eastAsia="Malgun Gothic"/>
      <w:color w:val="000000" w:themeColor="text1" w:themeShade="BF"/>
      <w:lang w:eastAsia="ko-KR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eastAsia="Malgun Gothic"/>
      <w:color w:val="365F91" w:themeColor="accent1" w:themeShade="BF"/>
      <w:lang w:eastAsia="ko-KR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eastAsia="Malgun Gothic"/>
      <w:color w:val="943634" w:themeColor="accent2" w:themeShade="BF"/>
      <w:lang w:eastAsia="ko-KR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eastAsia="Malgun Gothic"/>
      <w:color w:val="76923C" w:themeColor="accent3" w:themeShade="BF"/>
      <w:lang w:eastAsia="ko-KR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eastAsia="Malgun Gothic"/>
      <w:color w:val="5F497A" w:themeColor="accent4" w:themeShade="BF"/>
      <w:lang w:eastAsia="ko-KR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eastAsia="Malgun Gothic"/>
      <w:color w:val="31849B" w:themeColor="accent5" w:themeShade="BF"/>
      <w:lang w:eastAsia="ko-KR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eastAsia="Malgun Gothic"/>
      <w:color w:val="E36C0A" w:themeColor="accent6" w:themeShade="BF"/>
      <w:lang w:eastAsia="ko-KR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hAnsiTheme="majorHAnsi" w:cstheme="majorBidi" w:eastAsia="Malgun Gothic"/>
        <w:b/>
        <w:bCs/>
        <w:lang w:eastAsia="ko-KR"/>
      </w:rPr>
    </w:tblStylePr>
    <w:tblStylePr w:type="lastCol"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hAnsiTheme="majorHAnsi" w:cstheme="majorBidi" w:eastAsia="Malgun Gothic"/>
        <w:b/>
        <w:bCs/>
        <w:lang w:eastAsia="ko-KR"/>
      </w:rPr>
    </w:tblStylePr>
    <w:tblStylePr w:type="lastCol"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hAnsiTheme="majorHAnsi" w:cstheme="majorBidi" w:eastAsia="Malgun Gothic"/>
        <w:b/>
        <w:bCs/>
        <w:lang w:eastAsia="ko-KR"/>
      </w:rPr>
    </w:tblStylePr>
    <w:tblStylePr w:type="lastCol"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hAnsiTheme="majorHAnsi" w:cstheme="majorBidi" w:eastAsia="Malgun Gothic"/>
        <w:b/>
        <w:bCs/>
        <w:lang w:eastAsia="ko-KR"/>
      </w:rPr>
    </w:tblStylePr>
    <w:tblStylePr w:type="lastCol"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hAnsiTheme="majorHAnsi" w:cstheme="majorBidi" w:eastAsia="Malgun Gothic"/>
        <w:b/>
        <w:bCs/>
        <w:lang w:eastAsia="ko-KR"/>
      </w:rPr>
    </w:tblStylePr>
    <w:tblStylePr w:type="lastCol"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hAnsiTheme="majorHAnsi" w:cstheme="majorBidi" w:eastAsia="Malgun Gothic"/>
        <w:b/>
        <w:bCs/>
        <w:lang w:eastAsia="ko-KR"/>
      </w:rPr>
    </w:tblStylePr>
    <w:tblStylePr w:type="lastCol"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hAnsiTheme="majorHAnsi" w:cstheme="majorBidi" w:eastAsia="Malgun Gothic"/>
        <w:b/>
        <w:bCs/>
        <w:lang w:eastAsia="ko-KR"/>
      </w:rPr>
    </w:tblStylePr>
    <w:tblStylePr w:type="lastCol"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  <w:lang w:eastAsia="ko-KR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  <w:lang w:eastAsia="ko-KR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  <w:lang w:eastAsia="ko-KR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  <w:lang w:eastAsia="ko-KR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  <w:lang w:eastAsia="ko-KR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  <w:lang w:eastAsia="ko-KR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  <w:lang w:eastAsia="ko-KR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  <w:lang w:eastAsia="ko-KR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eastAsia="Malgun Gothic"/>
        <w:b/>
        <w:bCs/>
        <w:color w:val="1F497D" w:themeColor="text2"/>
        <w:lang w:eastAsia="ko-KR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  <w:lang w:eastAsia="ko-KR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eastAsia="Malgun Gothic"/>
        <w:b/>
        <w:bCs/>
        <w:color w:val="1F497D" w:themeColor="text2"/>
        <w:lang w:eastAsia="ko-KR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  <w:lang w:eastAsia="ko-KR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rFonts w:eastAsia="Malgun Gothic"/>
        <w:b/>
        <w:bCs/>
        <w:color w:val="1F497D" w:themeColor="text2"/>
        <w:lang w:eastAsia="ko-KR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  <w:lang w:eastAsia="ko-KR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rFonts w:eastAsia="Malgun Gothic"/>
        <w:b/>
        <w:bCs/>
        <w:color w:val="1F497D" w:themeColor="text2"/>
        <w:lang w:eastAsia="ko-KR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  <w:lang w:eastAsia="ko-KR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rFonts w:eastAsia="Malgun Gothic"/>
        <w:b/>
        <w:bCs/>
        <w:color w:val="1F497D" w:themeColor="text2"/>
        <w:lang w:eastAsia="ko-KR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  <w:lang w:eastAsia="ko-KR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rFonts w:eastAsia="Malgun Gothic"/>
        <w:b/>
        <w:bCs/>
        <w:color w:val="1F497D" w:themeColor="text2"/>
        <w:lang w:eastAsia="ko-KR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  <w:lang w:eastAsia="ko-KR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rFonts w:eastAsia="Malgun Gothic"/>
        <w:b/>
        <w:bCs/>
        <w:color w:val="1F497D" w:themeColor="text2"/>
        <w:lang w:eastAsia="ko-KR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  <w:lang w:eastAsia="ko-KR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  <w:lang w:eastAsia="ko-KR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  <w:lang w:eastAsia="ko-KR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  <w:lang w:eastAsia="ko-KR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  <w:lang w:eastAsia="ko-KR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  <w:lang w:eastAsia="ko-KR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  <w:lang w:eastAsia="ko-KR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rFonts w:eastAsia="Malgun Gothic"/>
        <w:b/>
        <w:bCs/>
        <w:lang w:eastAsia="ko-KR"/>
      </w:rPr>
    </w:tblStylePr>
    <w:tblStylePr w:type="lastRow">
      <w:rPr>
        <w:rFonts w:eastAsia="Malgun Gothic"/>
        <w:b/>
        <w:bCs/>
        <w:lang w:eastAsia="ko-KR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eastAsia="Malgun Gothic"/>
        <w:b/>
        <w:bCs/>
        <w:lang w:eastAsia="ko-KR"/>
      </w:rPr>
    </w:tblStylePr>
    <w:tblStylePr w:type="lastRow">
      <w:rPr>
        <w:rFonts w:eastAsia="Malgun Gothic"/>
        <w:b/>
        <w:bCs/>
        <w:lang w:eastAsia="ko-KR"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rFonts w:eastAsia="Malgun Gothic"/>
        <w:b/>
        <w:bCs/>
        <w:lang w:eastAsia="ko-KR"/>
      </w:rPr>
    </w:tblStylePr>
    <w:tblStylePr w:type="lastRow">
      <w:rPr>
        <w:rFonts w:eastAsia="Malgun Gothic"/>
        <w:b/>
        <w:bCs/>
        <w:lang w:eastAsia="ko-KR"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eastAsia="Malgun Gothic"/>
        <w:b/>
        <w:bCs/>
        <w:lang w:eastAsia="ko-KR"/>
      </w:rPr>
    </w:tblStylePr>
    <w:tblStylePr w:type="lastRow">
      <w:rPr>
        <w:rFonts w:eastAsia="Malgun Gothic"/>
        <w:b/>
        <w:bCs/>
        <w:lang w:eastAsia="ko-KR"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eastAsia="Malgun Gothic"/>
        <w:b/>
        <w:bCs/>
        <w:lang w:eastAsia="ko-KR"/>
      </w:rPr>
    </w:tblStylePr>
    <w:tblStylePr w:type="lastRow">
      <w:rPr>
        <w:rFonts w:eastAsia="Malgun Gothic"/>
        <w:b/>
        <w:bCs/>
        <w:lang w:eastAsia="ko-KR"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rFonts w:eastAsia="Malgun Gothic"/>
        <w:b/>
        <w:bCs/>
        <w:lang w:eastAsia="ko-KR"/>
      </w:rPr>
    </w:tblStylePr>
    <w:tblStylePr w:type="lastRow">
      <w:rPr>
        <w:rFonts w:eastAsia="Malgun Gothic"/>
        <w:b/>
        <w:bCs/>
        <w:lang w:eastAsia="ko-KR"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rFonts w:eastAsia="Malgun Gothic"/>
        <w:b/>
        <w:bCs/>
        <w:lang w:eastAsia="ko-KR"/>
      </w:rPr>
    </w:tblStylePr>
    <w:tblStylePr w:type="lastRow">
      <w:rPr>
        <w:rFonts w:eastAsia="Malgun Gothic"/>
        <w:b/>
        <w:bCs/>
        <w:lang w:eastAsia="ko-KR"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E6E6E6" w:themeFill="text1" w:themeFillTint="19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EDF2F8" w:themeFill="accent1" w:themeFillTint="19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F8EDED" w:themeFill="accent2" w:themeFillTint="19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F5F8EE" w:themeFill="accent3" w:themeFillTint="19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F2EFF6" w:themeFill="accent4" w:themeFillTint="19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EDF6F9" w:themeFill="accent5" w:themeFillTint="19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FEF4EC" w:themeFill="accent6" w:themeFillTint="19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rFonts w:eastAsia="Malgun Gothic"/>
        <w:color w:val="000000" w:themeColor="text1"/>
        <w:lang w:eastAsia="ko-KR"/>
      </w:rPr>
    </w:tblStylePr>
    <w:tblStylePr w:type="nwCell">
      <w:rPr>
        <w:rFonts w:eastAsia="Malgun Gothic"/>
        <w:color w:val="000000" w:themeColor="text1"/>
        <w:lang w:eastAsia="ko-KR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rFonts w:eastAsia="Malgun Gothic"/>
        <w:color w:val="000000" w:themeColor="text1"/>
        <w:lang w:eastAsia="ko-KR"/>
      </w:rPr>
    </w:tblStylePr>
    <w:tblStylePr w:type="nwCell">
      <w:rPr>
        <w:rFonts w:eastAsia="Malgun Gothic"/>
        <w:color w:val="000000" w:themeColor="text1"/>
        <w:lang w:eastAsia="ko-KR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eastAsia="Malgun Gothic"/>
        <w:color w:val="000000" w:themeColor="text1"/>
        <w:lang w:eastAsia="ko-KR"/>
      </w:rPr>
    </w:tblStylePr>
    <w:tblStylePr w:type="nwCell">
      <w:rPr>
        <w:rFonts w:eastAsia="Malgun Gothic"/>
        <w:color w:val="000000" w:themeColor="text1"/>
        <w:lang w:eastAsia="ko-KR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eastAsia="Malgun Gothic"/>
        <w:color w:val="000000" w:themeColor="text1"/>
        <w:lang w:eastAsia="ko-KR"/>
      </w:rPr>
    </w:tblStylePr>
    <w:tblStylePr w:type="nwCell">
      <w:rPr>
        <w:rFonts w:eastAsia="Malgun Gothic"/>
        <w:color w:val="000000" w:themeColor="text1"/>
        <w:lang w:eastAsia="ko-KR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eastAsia="Malgun Gothic"/>
        <w:color w:val="000000" w:themeColor="text1"/>
        <w:lang w:eastAsia="ko-KR"/>
      </w:rPr>
    </w:tblStylePr>
    <w:tblStylePr w:type="nwCell">
      <w:rPr>
        <w:rFonts w:eastAsia="Malgun Gothic"/>
        <w:color w:val="000000" w:themeColor="text1"/>
        <w:lang w:eastAsia="ko-KR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eastAsia="Malgun Gothic"/>
        <w:color w:val="000000" w:themeColor="text1"/>
        <w:lang w:eastAsia="ko-KR"/>
      </w:rPr>
    </w:tblStylePr>
    <w:tblStylePr w:type="nwCell">
      <w:rPr>
        <w:rFonts w:eastAsia="Malgun Gothic"/>
        <w:color w:val="000000" w:themeColor="text1"/>
        <w:lang w:eastAsia="ko-KR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eastAsia="Malgun Gothic"/>
        <w:b/>
        <w:bCs/>
        <w:color w:val="9E3A38" w:themeColor="accent2" w:themeShade="CC"/>
        <w:lang w:eastAsia="ko-KR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eastAsia="Malgun Gothic"/>
        <w:b/>
        <w:bCs/>
        <w:color w:val="9E3A38" w:themeColor="accent2" w:themeShade="CC"/>
        <w:lang w:eastAsia="ko-KR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eastAsia="Malgun Gothic"/>
        <w:b/>
        <w:bCs/>
        <w:color w:val="9E3A38" w:themeColor="accent2" w:themeShade="CC"/>
        <w:lang w:eastAsia="ko-KR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rFonts w:eastAsia="Malgun Gothic"/>
        <w:b/>
        <w:bCs/>
        <w:color w:val="664E82" w:themeColor="accent4" w:themeShade="CC"/>
        <w:lang w:eastAsia="ko-KR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rFonts w:eastAsia="Malgun Gothic"/>
        <w:b/>
        <w:bCs/>
        <w:color w:val="7E9C40" w:themeColor="accent3" w:themeShade="CC"/>
        <w:lang w:eastAsia="ko-KR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rFonts w:eastAsia="Malgun Gothic"/>
        <w:b/>
        <w:bCs/>
        <w:color w:val="F2730A" w:themeColor="accent6" w:themeShade="CC"/>
        <w:lang w:eastAsia="ko-KR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rFonts w:eastAsia="Malgun Gothic"/>
        <w:b/>
        <w:bCs/>
        <w:color w:val="348DA5" w:themeColor="accent5" w:themeShade="CC"/>
        <w:lang w:eastAsia="ko-KR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rFonts w:eastAsia="Malgun Gothic"/>
        <w:b/>
        <w:bCs/>
        <w:lang w:eastAsia="ko-KR"/>
      </w:rPr>
      <w:tblPr/>
      <w:tcPr>
        <w:shd w:val="clear" w:color="auto" w:fill="999999" w:themeFill="text1" w:themeFillTint="66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999999" w:themeFill="text1" w:themeFillTint="66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shd w:val="clear" w:color="auto" w:fill="000000" w:themeFill="text1" w:themeFillShade="BF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rFonts w:eastAsia="Malgun Gothic"/>
        <w:b/>
        <w:bCs/>
        <w:lang w:eastAsia="ko-KR"/>
      </w:rPr>
      <w:tblPr/>
      <w:tcPr>
        <w:shd w:val="clear" w:color="auto" w:fill="B8CCE4" w:themeFill="accent1" w:themeFillTint="66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B8CCE4" w:themeFill="accent1" w:themeFillTint="66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shd w:val="clear" w:color="auto" w:fill="365F91" w:themeFill="accent1" w:themeFillShade="BF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rFonts w:eastAsia="Malgun Gothic"/>
        <w:b/>
        <w:bCs/>
        <w:lang w:eastAsia="ko-KR"/>
      </w:rPr>
      <w:tblPr/>
      <w:tcPr>
        <w:shd w:val="clear" w:color="auto" w:fill="E5B8B7" w:themeFill="accent2" w:themeFillTint="66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E5B8B7" w:themeFill="accent2" w:themeFillTint="66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shd w:val="clear" w:color="auto" w:fill="943634" w:themeFill="accent2" w:themeFillShade="BF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rFonts w:eastAsia="Malgun Gothic"/>
        <w:b/>
        <w:bCs/>
        <w:lang w:eastAsia="ko-KR"/>
      </w:rPr>
      <w:tblPr/>
      <w:tcPr>
        <w:shd w:val="clear" w:color="auto" w:fill="D6E3BC" w:themeFill="accent3" w:themeFillTint="66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D6E3BC" w:themeFill="accent3" w:themeFillTint="66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shd w:val="clear" w:color="auto" w:fill="76923C" w:themeFill="accent3" w:themeFillShade="BF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rFonts w:eastAsia="Malgun Gothic"/>
        <w:b/>
        <w:bCs/>
        <w:lang w:eastAsia="ko-KR"/>
      </w:rPr>
      <w:tblPr/>
      <w:tcPr>
        <w:shd w:val="clear" w:color="auto" w:fill="CCC0D9" w:themeFill="accent4" w:themeFillTint="66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CCC0D9" w:themeFill="accent4" w:themeFillTint="66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shd w:val="clear" w:color="auto" w:fill="5F497A" w:themeFill="accent4" w:themeFillShade="BF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rFonts w:eastAsia="Malgun Gothic"/>
        <w:b/>
        <w:bCs/>
        <w:lang w:eastAsia="ko-KR"/>
      </w:rPr>
      <w:tblPr/>
      <w:tcPr>
        <w:shd w:val="clear" w:color="auto" w:fill="B6DDE8" w:themeFill="accent5" w:themeFillTint="66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B6DDE8" w:themeFill="accent5" w:themeFillTint="66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shd w:val="clear" w:color="auto" w:fill="31849B" w:themeFill="accent5" w:themeFillShade="BF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rFonts w:eastAsia="Malgun Gothic"/>
        <w:b/>
        <w:bCs/>
        <w:lang w:eastAsia="ko-KR"/>
      </w:rPr>
      <w:tblPr/>
      <w:tcPr>
        <w:shd w:val="clear" w:color="auto" w:fill="FBD4B4" w:themeFill="accent6" w:themeFillTint="66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FBD4B4" w:themeFill="accent6" w:themeFillTint="66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shd w:val="clear" w:color="auto" w:fill="E36C0A" w:themeFill="accent6" w:themeFillShade="BF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산업용 화학제품 시험성적서(CoA) 양식</dc:title>
  <dc:subject/>
  <dc:creator>Lubinpla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