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3A5F"/>
        </w:rPr>
        <w:t>Chemical compatibility worksheet</w:t>
      </w:r>
    </w:p>
    <w:tbl>
      <w:tblPr>
        <w:tblStyle w:val="TableGrid"/>
        <w:tblW w:type="auto" w:w="0"/>
        <w:tblLook w:firstColumn="1" w:firstRow="1" w:lastColumn="0" w:lastRow="0" w:noHBand="0" w:noVBand="1" w:val="04A0"/>
      </w:tblPr>
      <w:tblGrid>
        <w:gridCol w:w="9638"/>
      </w:tblGrid>
      <w:tr>
        <w:tc>
          <w:tcPr>
            <w:tcW w:type="dxa" w:w="9638"/>
            <w:shd w:val="clear" w:color="auto" w:fill="F2F2F2"/>
          </w:tcPr>
          <w:p>
            <w:r/>
            <w:r>
              <w:rPr>
                <w:b/>
                <w:sz w:val="17"/>
              </w:rPr>
              <w:t>How to use this worksheet</w:t>
            </w:r>
          </w:p>
          <w:p>
            <w:r>
              <w:rPr>
                <w:b w:val="0"/>
                <w:sz w:val="17"/>
              </w:rPr>
              <w:t>Use one worksheet per question: can this product be used with what it meets in this system? Fill in the sections in order.</w:t>
            </w:r>
          </w:p>
          <w:p>
            <w:r>
              <w:rPr>
                <w:b w:val="0"/>
                <w:sz w:val="17"/>
              </w:rPr>
              <w:t>1. Write every combination on its axis (coexisting chemical, wetted material or residue at changeover) with concentration (%), temperature range (°C, including start-up, cleaning and seasonal extremes) and contact time (h). Add neat contact in shared lines, bunds or spills as its own row.</w:t>
            </w:r>
          </w:p>
          <w:p>
            <w:r>
              <w:rPr>
                <w:b w:val="0"/>
                <w:sz w:val="17"/>
              </w:rPr>
              <w:t>2. Write the criterion, limit and source for each axis before you read any chart or test value.</w:t>
            </w:r>
          </w:p>
          <w:p>
            <w:r>
              <w:rPr>
                <w:b w:val="0"/>
                <w:sz w:val="17"/>
              </w:rPr>
              <w:t>3. Identify each product by component, CAS number and concentration band from section 3 of its safety data sheet, and each wetted material by grade. A trade name or a material family alone leaves the row unresolved.</w:t>
            </w:r>
          </w:p>
          <w:p>
            <w:r>
              <w:rPr>
                <w:b w:val="0"/>
                <w:sz w:val="17"/>
              </w:rPr>
              <w:t>4. Mark every value from a public chart, handbook or another site's experience as typical, with the conditions it was measured at.</w:t>
            </w:r>
          </w:p>
          <w:p>
            <w:r>
              <w:rPr>
                <w:b w:val="0"/>
                <w:sz w:val="17"/>
              </w:rPr>
              <w:t>5. Give each conditional verdict its limits, a sign to watch, an observation point and frequency, and a stop reading.</w:t>
            </w:r>
          </w:p>
          <w:p>
            <w:r>
              <w:rPr>
                <w:b w:val="0"/>
                <w:sz w:val="17"/>
              </w:rPr>
              <w:t>6. Mixing or bottle tests of chemicals that can react are hazardous. Before mixing, read sections 7 and 10 of both safety data sheets, start with small quantities and follow the site's written procedure (in the US, the employer's Chemical Hygiene Plan under OSHA 29 CFR 1910.1450 for laboratory use).</w:t>
            </w:r>
          </w:p>
          <w:p>
            <w:r>
              <w:rPr>
                <w:b w:val="0"/>
                <w:sz w:val="17"/>
              </w:rPr>
              <w:t>Verdicts: C = compatible (evidence covers the conditions), CC = conditionally compatible (condition is a test or a limit), I = incompatible. Confidence: H, M or L.</w:t>
            </w:r>
          </w:p>
          <w:p>
            <w:r>
              <w:rPr>
                <w:b w:val="0"/>
                <w:sz w:val="17"/>
              </w:rPr>
              <w:t>An illustrative example is on the last page, kept apart from the blank form.</w:t>
            </w:r>
          </w:p>
        </w:tc>
      </w:tr>
    </w:tbl>
    <w:p/>
    <w:p>
      <w:r>
        <w:rPr>
          <w:b/>
        </w:rPr>
        <w:t xml:space="preserve">Assessment ID: </w:t>
      </w:r>
      <w:r>
        <w:t>_________________________________________________________</w:t>
      </w:r>
    </w:p>
    <w:p>
      <w:r>
        <w:rPr>
          <w:b/>
        </w:rPr>
        <w:t xml:space="preserve">Date (YYYY-MM-DD): </w:t>
      </w:r>
      <w:r>
        <w:t>_____________________________________________________</w:t>
      </w:r>
    </w:p>
    <w:p>
      <w:r>
        <w:rPr>
          <w:b/>
        </w:rPr>
        <w:t xml:space="preserve">Prepared by: </w:t>
      </w:r>
      <w:r>
        <w:t>___________________________________________________________</w:t>
      </w:r>
    </w:p>
    <w:p>
      <w:r>
        <w:rPr>
          <w:b/>
        </w:rPr>
        <w:t xml:space="preserve">Reviewed by: </w:t>
      </w:r>
      <w:r>
        <w:t>___________________________________________________________</w:t>
      </w:r>
    </w:p>
    <w:p>
      <w:r>
        <w:rPr>
          <w:b/>
        </w:rPr>
        <w:t xml:space="preserve">Customer and site: </w:t>
      </w:r>
      <w:r>
        <w:t>_____________________________________________________</w:t>
      </w:r>
    </w:p>
    <w:p>
      <w:r>
        <w:rPr>
          <w:b/>
        </w:rPr>
        <w:t xml:space="preserve">System: </w:t>
      </w:r>
      <w:r>
        <w:t>________________________________________________________________</w:t>
      </w:r>
    </w:p>
    <w:p>
      <w:r>
        <w:rPr>
          <w:b/>
        </w:rPr>
        <w:t xml:space="preserve">Product assessed (name, SDS revision date): </w:t>
      </w:r>
      <w:r>
        <w:t>____________________________</w:t>
      </w:r>
    </w:p>
    <w:p>
      <w:r>
        <w:rPr>
          <w:b/>
        </w:rPr>
        <w:t xml:space="preserve">Question (one sentence): </w:t>
      </w:r>
      <w:r>
        <w:t>_______________________________________________</w:t>
      </w:r>
    </w:p>
    <w:p>
      <w:pPr>
        <w:pStyle w:val="Heading1"/>
      </w:pPr>
      <w:r>
        <w:rPr>
          <w:color w:val="1F3A5F"/>
        </w:rPr>
        <w:t>1. Combinations and criteria</w:t>
      </w:r>
    </w:p>
    <w:p>
      <w:r>
        <w:t>Combinations. One row per combination; neat contact gets its own row.</w:t>
      </w:r>
    </w:p>
    <w:tbl>
      <w:tblPr>
        <w:tblStyle w:val="TableGrid"/>
        <w:tblW w:type="auto" w:w="0"/>
        <w:tblLook w:firstColumn="1" w:firstRow="1" w:lastColumn="0" w:lastRow="0" w:noHBand="0" w:noVBand="1" w:val="04A0"/>
      </w:tblPr>
      <w:tblGrid>
        <w:gridCol w:w="1071"/>
        <w:gridCol w:w="1071"/>
        <w:gridCol w:w="1071"/>
        <w:gridCol w:w="1071"/>
        <w:gridCol w:w="1071"/>
        <w:gridCol w:w="1071"/>
        <w:gridCol w:w="1071"/>
        <w:gridCol w:w="1071"/>
        <w:gridCol w:w="1071"/>
      </w:tblGrid>
      <w:tr>
        <w:tc>
          <w:tcPr>
            <w:tcW w:type="dxa" w:w="1071"/>
            <w:shd w:val="clear" w:color="auto" w:fill="E8EEF5"/>
          </w:tcPr>
          <w:p>
            <w:r/>
            <w:r>
              <w:rPr>
                <w:b/>
                <w:sz w:val="17"/>
              </w:rPr>
              <w:t>ID</w:t>
            </w:r>
          </w:p>
        </w:tc>
        <w:tc>
          <w:tcPr>
            <w:tcW w:type="dxa" w:w="1071"/>
            <w:shd w:val="clear" w:color="auto" w:fill="E8EEF5"/>
          </w:tcPr>
          <w:p>
            <w:r/>
            <w:r>
              <w:rPr>
                <w:b/>
                <w:sz w:val="17"/>
              </w:rPr>
              <w:t>Axis (chemical, material, residue)</w:t>
            </w:r>
          </w:p>
        </w:tc>
        <w:tc>
          <w:tcPr>
            <w:tcW w:type="dxa" w:w="1071"/>
            <w:shd w:val="clear" w:color="auto" w:fill="E8EEF5"/>
          </w:tcPr>
          <w:p>
            <w:r/>
            <w:r>
              <w:rPr>
                <w:b/>
                <w:sz w:val="17"/>
              </w:rPr>
              <w:t>Other side</w:t>
            </w:r>
          </w:p>
        </w:tc>
        <w:tc>
          <w:tcPr>
            <w:tcW w:type="dxa" w:w="1071"/>
            <w:shd w:val="clear" w:color="auto" w:fill="E8EEF5"/>
          </w:tcPr>
          <w:p>
            <w:r/>
            <w:r>
              <w:rPr>
                <w:b/>
                <w:sz w:val="17"/>
              </w:rPr>
              <w:t>Contact point</w:t>
            </w:r>
          </w:p>
        </w:tc>
        <w:tc>
          <w:tcPr>
            <w:tcW w:type="dxa" w:w="1071"/>
            <w:shd w:val="clear" w:color="auto" w:fill="E8EEF5"/>
          </w:tcPr>
          <w:p>
            <w:r/>
            <w:r>
              <w:rPr>
                <w:b/>
                <w:sz w:val="17"/>
              </w:rPr>
              <w:t>Concentration (%)</w:t>
            </w:r>
          </w:p>
        </w:tc>
        <w:tc>
          <w:tcPr>
            <w:tcW w:type="dxa" w:w="1071"/>
            <w:shd w:val="clear" w:color="auto" w:fill="E8EEF5"/>
          </w:tcPr>
          <w:p>
            <w:r/>
            <w:r>
              <w:rPr>
                <w:b/>
                <w:sz w:val="17"/>
              </w:rPr>
              <w:t>Temperature range (°C)</w:t>
            </w:r>
          </w:p>
        </w:tc>
        <w:tc>
          <w:tcPr>
            <w:tcW w:type="dxa" w:w="1071"/>
            <w:shd w:val="clear" w:color="auto" w:fill="E8EEF5"/>
          </w:tcPr>
          <w:p>
            <w:r/>
            <w:r>
              <w:rPr>
                <w:b/>
                <w:sz w:val="17"/>
              </w:rPr>
              <w:t>Contact time (h)</w:t>
            </w:r>
          </w:p>
        </w:tc>
        <w:tc>
          <w:tcPr>
            <w:tcW w:type="dxa" w:w="1071"/>
            <w:shd w:val="clear" w:color="auto" w:fill="E8EEF5"/>
          </w:tcPr>
          <w:p>
            <w:r/>
            <w:r>
              <w:rPr>
                <w:b/>
                <w:sz w:val="17"/>
              </w:rPr>
              <w:t>Neat contact (Y/N)</w:t>
            </w:r>
          </w:p>
        </w:tc>
        <w:tc>
          <w:tcPr>
            <w:tcW w:type="dxa" w:w="1071"/>
            <w:shd w:val="clear" w:color="auto" w:fill="E8EEF5"/>
          </w:tcPr>
          <w:p>
            <w:r/>
            <w:r>
              <w:rPr>
                <w:b/>
                <w:sz w:val="17"/>
              </w:rPr>
              <w:t>Avoidable (Y/N)</w:t>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r>
        <w:trPr>
          <w:trHeight w:val="440"/>
        </w:trPr>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c>
          <w:tcPr>
            <w:tcW w:type="dxa" w:w="1071"/>
          </w:tcPr>
          <w:p>
            <w:r>
              <w:rPr>
                <w:sz w:val="17"/>
              </w:rPr>
            </w:r>
          </w:p>
        </w:tc>
      </w:tr>
    </w:tbl>
    <w:p/>
    <w:p>
      <w:r>
        <w:t>Criteria. Fixed before any value is read.</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EEF5"/>
          </w:tcPr>
          <w:p>
            <w:r/>
            <w:r>
              <w:rPr>
                <w:b/>
                <w:sz w:val="17"/>
              </w:rPr>
              <w:t>Axis</w:t>
            </w:r>
          </w:p>
        </w:tc>
        <w:tc>
          <w:tcPr>
            <w:tcW w:type="dxa" w:w="2409"/>
            <w:shd w:val="clear" w:color="auto" w:fill="E8EEF5"/>
          </w:tcPr>
          <w:p>
            <w:r/>
            <w:r>
              <w:rPr>
                <w:b/>
                <w:sz w:val="17"/>
              </w:rPr>
              <w:t>Criterion (property)</w:t>
            </w:r>
          </w:p>
        </w:tc>
        <w:tc>
          <w:tcPr>
            <w:tcW w:type="dxa" w:w="2409"/>
            <w:shd w:val="clear" w:color="auto" w:fill="E8EEF5"/>
          </w:tcPr>
          <w:p>
            <w:r/>
            <w:r>
              <w:rPr>
                <w:b/>
                <w:sz w:val="17"/>
              </w:rPr>
              <w:t>Limit (value, unit, sign)</w:t>
            </w:r>
          </w:p>
        </w:tc>
        <w:tc>
          <w:tcPr>
            <w:tcW w:type="dxa" w:w="2409"/>
            <w:shd w:val="clear" w:color="auto" w:fill="E8EEF5"/>
          </w:tcPr>
          <w:p>
            <w:r/>
            <w:r>
              <w:rPr>
                <w:b/>
                <w:sz w:val="17"/>
              </w:rPr>
              <w:t>Source (customer spec, maker statement, or typical)</w:t>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bl>
    <w:p/>
    <w:p>
      <w:r>
        <w:t>[ ] Criteria and limits were written before any chart or test value was read.</w:t>
      </w:r>
    </w:p>
    <w:p>
      <w:r>
        <w:t>[ ] Neat contact in shared lines, bunds or spills has its own combination row.</w:t>
      </w:r>
    </w:p>
    <w:p>
      <w:r>
        <w:t>[ ] Every temperature range includes start-up, cleaning and seasonal extremes.</w:t>
      </w:r>
    </w:p>
    <w:p>
      <w:pPr>
        <w:pStyle w:val="Heading1"/>
      </w:pPr>
      <w:r>
        <w:rPr>
          <w:color w:val="1F3A5F"/>
        </w:rPr>
        <w:t>2. Compositions and grades</w:t>
      </w:r>
    </w:p>
    <w:p>
      <w:r>
        <w:t>Products, coexisting chemicals and previous products (from SDS section 3 and section 10).</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E8EEF5"/>
          </w:tcPr>
          <w:p>
            <w:r/>
            <w:r>
              <w:rPr>
                <w:b/>
                <w:sz w:val="17"/>
              </w:rPr>
              <w:t>Product</w:t>
            </w:r>
          </w:p>
        </w:tc>
        <w:tc>
          <w:tcPr>
            <w:tcW w:type="dxa" w:w="1377"/>
            <w:shd w:val="clear" w:color="auto" w:fill="E8EEF5"/>
          </w:tcPr>
          <w:p>
            <w:r/>
            <w:r>
              <w:rPr>
                <w:b/>
                <w:sz w:val="17"/>
              </w:rPr>
              <w:t>Component</w:t>
            </w:r>
          </w:p>
        </w:tc>
        <w:tc>
          <w:tcPr>
            <w:tcW w:type="dxa" w:w="1377"/>
            <w:shd w:val="clear" w:color="auto" w:fill="E8EEF5"/>
          </w:tcPr>
          <w:p>
            <w:r/>
            <w:r>
              <w:rPr>
                <w:b/>
                <w:sz w:val="17"/>
              </w:rPr>
              <w:t>CAS number</w:t>
            </w:r>
          </w:p>
        </w:tc>
        <w:tc>
          <w:tcPr>
            <w:tcW w:type="dxa" w:w="1377"/>
            <w:shd w:val="clear" w:color="auto" w:fill="E8EEF5"/>
          </w:tcPr>
          <w:p>
            <w:r/>
            <w:r>
              <w:rPr>
                <w:b/>
                <w:sz w:val="17"/>
              </w:rPr>
              <w:t>Concentration band (%)</w:t>
            </w:r>
          </w:p>
        </w:tc>
        <w:tc>
          <w:tcPr>
            <w:tcW w:type="dxa" w:w="1377"/>
            <w:shd w:val="clear" w:color="auto" w:fill="E8EEF5"/>
          </w:tcPr>
          <w:p>
            <w:r/>
            <w:r>
              <w:rPr>
                <w:b/>
                <w:sz w:val="17"/>
              </w:rPr>
              <w:t>Public or internal</w:t>
            </w:r>
          </w:p>
        </w:tc>
        <w:tc>
          <w:tcPr>
            <w:tcW w:type="dxa" w:w="1377"/>
            <w:shd w:val="clear" w:color="auto" w:fill="E8EEF5"/>
          </w:tcPr>
          <w:p>
            <w:r/>
            <w:r>
              <w:rPr>
                <w:b/>
                <w:sz w:val="17"/>
              </w:rPr>
              <w:t>SDS section 10 incompatibilities</w:t>
            </w:r>
          </w:p>
        </w:tc>
        <w:tc>
          <w:tcPr>
            <w:tcW w:type="dxa" w:w="1377"/>
            <w:shd w:val="clear" w:color="auto" w:fill="E8EEF5"/>
          </w:tcPr>
          <w:p>
            <w:r/>
            <w:r>
              <w:rPr>
                <w:b/>
                <w:sz w:val="17"/>
              </w:rPr>
              <w:t>SDS revision date</w:t>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bl>
    <w:p/>
    <w:p>
      <w:r>
        <w:t>Wetted materials.</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EEF5"/>
          </w:tcPr>
          <w:p>
            <w:r/>
            <w:r>
              <w:rPr>
                <w:b/>
                <w:sz w:val="17"/>
              </w:rPr>
              <w:t>Material and location</w:t>
            </w:r>
          </w:p>
        </w:tc>
        <w:tc>
          <w:tcPr>
            <w:tcW w:type="dxa" w:w="2409"/>
            <w:shd w:val="clear" w:color="auto" w:fill="E8EEF5"/>
          </w:tcPr>
          <w:p>
            <w:r/>
            <w:r>
              <w:rPr>
                <w:b/>
                <w:sz w:val="17"/>
              </w:rPr>
              <w:t>Grade (alloy, compound, polymer, coating system)</w:t>
            </w:r>
          </w:p>
        </w:tc>
        <w:tc>
          <w:tcPr>
            <w:tcW w:type="dxa" w:w="2409"/>
            <w:shd w:val="clear" w:color="auto" w:fill="E8EEF5"/>
          </w:tcPr>
          <w:p>
            <w:r/>
            <w:r>
              <w:rPr>
                <w:b/>
                <w:sz w:val="17"/>
              </w:rPr>
              <w:t>Record it comes from</w:t>
            </w:r>
          </w:p>
        </w:tc>
        <w:tc>
          <w:tcPr>
            <w:tcW w:type="dxa" w:w="2409"/>
            <w:shd w:val="clear" w:color="auto" w:fill="E8EEF5"/>
          </w:tcPr>
          <w:p>
            <w:r/>
            <w:r>
              <w:rPr>
                <w:b/>
                <w:sz w:val="17"/>
              </w:rPr>
              <w:t>Grade confirmed? (Y/N)</w:t>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r>
        <w:trPr>
          <w:trHeight w:val="440"/>
        </w:trPr>
        <w:tc>
          <w:tcPr>
            <w:tcW w:type="dxa" w:w="2409"/>
          </w:tcPr>
          <w:p>
            <w:r>
              <w:rPr>
                <w:sz w:val="17"/>
              </w:rPr>
            </w:r>
          </w:p>
        </w:tc>
        <w:tc>
          <w:tcPr>
            <w:tcW w:type="dxa" w:w="2409"/>
          </w:tcPr>
          <w:p>
            <w:r>
              <w:rPr>
                <w:sz w:val="17"/>
              </w:rPr>
            </w:r>
          </w:p>
        </w:tc>
        <w:tc>
          <w:tcPr>
            <w:tcW w:type="dxa" w:w="2409"/>
          </w:tcPr>
          <w:p>
            <w:r>
              <w:rPr>
                <w:sz w:val="17"/>
              </w:rPr>
            </w:r>
          </w:p>
        </w:tc>
        <w:tc>
          <w:tcPr>
            <w:tcW w:type="dxa" w:w="2409"/>
          </w:tcPr>
          <w:p>
            <w:r>
              <w:rPr>
                <w:sz w:val="17"/>
              </w:rPr>
            </w:r>
          </w:p>
        </w:tc>
      </w:tr>
    </w:tbl>
    <w:p/>
    <w:p>
      <w:r>
        <w:t>[ ] Each product row uses the safety data sheet for the customer's jurisdiction.</w:t>
      </w:r>
    </w:p>
    <w:p>
      <w:r>
        <w:t>[ ] Each material known only by its family is marked grade unconfirmed.</w:t>
      </w:r>
    </w:p>
    <w:p>
      <w:pPr>
        <w:pStyle w:val="Heading1"/>
      </w:pPr>
      <w:r>
        <w:rPr>
          <w:color w:val="1F3A5F"/>
        </w:rPr>
        <w:t>3. Verdict per combination</w:t>
      </w:r>
    </w:p>
    <w:p>
      <w:r>
        <w:t>Combinations that can give off gas, heat or a hazardous product go first.</w:t>
      </w:r>
    </w:p>
    <w:tbl>
      <w:tblPr>
        <w:tblStyle w:val="TableGrid"/>
        <w:tblW w:type="auto" w:w="0"/>
        <w:tblLook w:firstColumn="1" w:firstRow="1" w:lastColumn="0" w:lastRow="0" w:noHBand="0" w:noVBand="1" w:val="04A0"/>
      </w:tblPr>
      <w:tblGrid>
        <w:gridCol w:w="1205"/>
        <w:gridCol w:w="1205"/>
        <w:gridCol w:w="1205"/>
        <w:gridCol w:w="1205"/>
        <w:gridCol w:w="1205"/>
        <w:gridCol w:w="1205"/>
        <w:gridCol w:w="1205"/>
        <w:gridCol w:w="1205"/>
      </w:tblGrid>
      <w:tr>
        <w:tc>
          <w:tcPr>
            <w:tcW w:type="dxa" w:w="1205"/>
            <w:shd w:val="clear" w:color="auto" w:fill="E8EEF5"/>
          </w:tcPr>
          <w:p>
            <w:r/>
            <w:r>
              <w:rPr>
                <w:b/>
                <w:sz w:val="17"/>
              </w:rPr>
              <w:t>ID</w:t>
            </w:r>
          </w:p>
        </w:tc>
        <w:tc>
          <w:tcPr>
            <w:tcW w:type="dxa" w:w="1205"/>
            <w:shd w:val="clear" w:color="auto" w:fill="E8EEF5"/>
          </w:tcPr>
          <w:p>
            <w:r/>
            <w:r>
              <w:rPr>
                <w:b/>
                <w:sz w:val="17"/>
              </w:rPr>
              <w:t>Deciding value (unit)</w:t>
            </w:r>
          </w:p>
        </w:tc>
        <w:tc>
          <w:tcPr>
            <w:tcW w:type="dxa" w:w="1205"/>
            <w:shd w:val="clear" w:color="auto" w:fill="E8EEF5"/>
          </w:tcPr>
          <w:p>
            <w:r/>
            <w:r>
              <w:rPr>
                <w:b/>
                <w:sz w:val="17"/>
              </w:rPr>
              <w:t>Limit</w:t>
            </w:r>
          </w:p>
        </w:tc>
        <w:tc>
          <w:tcPr>
            <w:tcW w:type="dxa" w:w="1205"/>
            <w:shd w:val="clear" w:color="auto" w:fill="E8EEF5"/>
          </w:tcPr>
          <w:p>
            <w:r/>
            <w:r>
              <w:rPr>
                <w:b/>
                <w:sz w:val="17"/>
              </w:rPr>
              <w:t>Test conditions vs customer conditions</w:t>
            </w:r>
          </w:p>
        </w:tc>
        <w:tc>
          <w:tcPr>
            <w:tcW w:type="dxa" w:w="1205"/>
            <w:shd w:val="clear" w:color="auto" w:fill="E8EEF5"/>
          </w:tcPr>
          <w:p>
            <w:r/>
            <w:r>
              <w:rPr>
                <w:b/>
                <w:sz w:val="17"/>
              </w:rPr>
              <w:t>Source kind and date</w:t>
            </w:r>
          </w:p>
        </w:tc>
        <w:tc>
          <w:tcPr>
            <w:tcW w:type="dxa" w:w="1205"/>
            <w:shd w:val="clear" w:color="auto" w:fill="E8EEF5"/>
          </w:tcPr>
          <w:p>
            <w:r/>
            <w:r>
              <w:rPr>
                <w:b/>
                <w:sz w:val="17"/>
              </w:rPr>
              <w:t>Typical? (Y/N)</w:t>
            </w:r>
          </w:p>
        </w:tc>
        <w:tc>
          <w:tcPr>
            <w:tcW w:type="dxa" w:w="1205"/>
            <w:shd w:val="clear" w:color="auto" w:fill="E8EEF5"/>
          </w:tcPr>
          <w:p>
            <w:r/>
            <w:r>
              <w:rPr>
                <w:b/>
                <w:sz w:val="17"/>
              </w:rPr>
              <w:t>Verdict (C, CC, I)</w:t>
            </w:r>
          </w:p>
        </w:tc>
        <w:tc>
          <w:tcPr>
            <w:tcW w:type="dxa" w:w="1205"/>
            <w:shd w:val="clear" w:color="auto" w:fill="E8EEF5"/>
          </w:tcPr>
          <w:p>
            <w:r/>
            <w:r>
              <w:rPr>
                <w:b/>
                <w:sz w:val="17"/>
              </w:rPr>
              <w:t>Confidence (H, M, L)</w:t>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r>
        <w:trPr>
          <w:trHeight w:val="440"/>
        </w:trPr>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c>
          <w:tcPr>
            <w:tcW w:type="dxa" w:w="1205"/>
          </w:tcPr>
          <w:p>
            <w:r>
              <w:rPr>
                <w:sz w:val="17"/>
              </w:rPr>
            </w:r>
          </w:p>
        </w:tc>
      </w:tr>
    </w:tbl>
    <w:p/>
    <w:p>
      <w:r>
        <w:rPr>
          <w:b/>
        </w:rPr>
        <w:t xml:space="preserve">Overall verdict (C, CC or I) and the combination that decides it: </w:t>
      </w:r>
      <w:r>
        <w:t>__________</w:t>
      </w:r>
    </w:p>
    <w:p>
      <w:r>
        <w:t>[ ] No combination is called compatible beyond the concentration, temperature and contact time its evidence covers.</w:t>
      </w:r>
    </w:p>
    <w:p>
      <w:r>
        <w:t>[ ] Every value from a public chart or handbook is marked typical.</w:t>
      </w:r>
    </w:p>
    <w:p>
      <w:pPr>
        <w:pStyle w:val="Heading1"/>
      </w:pPr>
      <w:r>
        <w:rPr>
          <w:color w:val="1F3A5F"/>
        </w:rPr>
        <w:t>4. Operating limits and signs to watch</w:t>
      </w:r>
    </w:p>
    <w:p>
      <w:r>
        <w:t>Each conditionally compatible combination.</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shd w:val="clear" w:color="auto" w:fill="E8EEF5"/>
          </w:tcPr>
          <w:p>
            <w:r/>
            <w:r>
              <w:rPr>
                <w:b/>
                <w:sz w:val="17"/>
              </w:rPr>
              <w:t>ID</w:t>
            </w:r>
          </w:p>
        </w:tc>
        <w:tc>
          <w:tcPr>
            <w:tcW w:type="dxa" w:w="1606"/>
            <w:shd w:val="clear" w:color="auto" w:fill="E8EEF5"/>
          </w:tcPr>
          <w:p>
            <w:r/>
            <w:r>
              <w:rPr>
                <w:b/>
                <w:sz w:val="17"/>
              </w:rPr>
              <w:t>Limit (value, basis)</w:t>
            </w:r>
          </w:p>
        </w:tc>
        <w:tc>
          <w:tcPr>
            <w:tcW w:type="dxa" w:w="1606"/>
            <w:shd w:val="clear" w:color="auto" w:fill="E8EEF5"/>
          </w:tcPr>
          <w:p>
            <w:r/>
            <w:r>
              <w:rPr>
                <w:b/>
                <w:sz w:val="17"/>
              </w:rPr>
              <w:t>Sign to watch</w:t>
            </w:r>
          </w:p>
        </w:tc>
        <w:tc>
          <w:tcPr>
            <w:tcW w:type="dxa" w:w="1606"/>
            <w:shd w:val="clear" w:color="auto" w:fill="E8EEF5"/>
          </w:tcPr>
          <w:p>
            <w:r/>
            <w:r>
              <w:rPr>
                <w:b/>
                <w:sz w:val="17"/>
              </w:rPr>
              <w:t>Observation point</w:t>
            </w:r>
          </w:p>
        </w:tc>
        <w:tc>
          <w:tcPr>
            <w:tcW w:type="dxa" w:w="1606"/>
            <w:shd w:val="clear" w:color="auto" w:fill="E8EEF5"/>
          </w:tcPr>
          <w:p>
            <w:r/>
            <w:r>
              <w:rPr>
                <w:b/>
                <w:sz w:val="17"/>
              </w:rPr>
              <w:t>Frequency</w:t>
            </w:r>
          </w:p>
        </w:tc>
        <w:tc>
          <w:tcPr>
            <w:tcW w:type="dxa" w:w="1606"/>
            <w:shd w:val="clear" w:color="auto" w:fill="E8EEF5"/>
          </w:tcPr>
          <w:p>
            <w:r/>
            <w:r>
              <w:rPr>
                <w:b/>
                <w:sz w:val="17"/>
              </w:rPr>
              <w:t>Stop reading</w:t>
            </w:r>
          </w:p>
        </w:tc>
      </w:tr>
      <w:tr>
        <w:trPr>
          <w:trHeight w:val="440"/>
        </w:trPr>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r>
      <w:tr>
        <w:trPr>
          <w:trHeight w:val="440"/>
        </w:trPr>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r>
      <w:tr>
        <w:trPr>
          <w:trHeight w:val="440"/>
        </w:trPr>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r>
      <w:tr>
        <w:trPr>
          <w:trHeight w:val="440"/>
        </w:trPr>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c>
          <w:tcPr>
            <w:tcW w:type="dxa" w:w="1606"/>
          </w:tcPr>
          <w:p>
            <w:r>
              <w:rPr>
                <w:sz w:val="17"/>
              </w:rPr>
            </w:r>
          </w:p>
        </w:tc>
      </w:tr>
    </w:tbl>
    <w:p/>
    <w:p>
      <w:r>
        <w:t>Each incompatible combination the customer can avoid.</w:t>
      </w:r>
    </w:p>
    <w:tbl>
      <w:tblPr>
        <w:tblStyle w:val="TableGrid"/>
        <w:tblW w:type="auto" w:w="0"/>
        <w:tblLook w:firstColumn="1" w:firstRow="1" w:lastColumn="0" w:lastRow="0" w:noHBand="0" w:noVBand="1" w:val="04A0"/>
      </w:tblPr>
      <w:tblGrid>
        <w:gridCol w:w="4819"/>
        <w:gridCol w:w="4819"/>
      </w:tblGrid>
      <w:tr>
        <w:tc>
          <w:tcPr>
            <w:tcW w:type="dxa" w:w="4819"/>
            <w:shd w:val="clear" w:color="auto" w:fill="E8EEF5"/>
          </w:tcPr>
          <w:p>
            <w:r/>
            <w:r>
              <w:rPr>
                <w:b/>
                <w:sz w:val="17"/>
              </w:rPr>
              <w:t>ID</w:t>
            </w:r>
          </w:p>
        </w:tc>
        <w:tc>
          <w:tcPr>
            <w:tcW w:type="dxa" w:w="4819"/>
            <w:shd w:val="clear" w:color="auto" w:fill="E8EEF5"/>
          </w:tcPr>
          <w:p>
            <w:r/>
            <w:r>
              <w:rPr>
                <w:b/>
                <w:sz w:val="17"/>
              </w:rPr>
              <w:t>Separation measure (dedicated line, tank, flush, segregated storage)</w:t>
            </w:r>
          </w:p>
        </w:tc>
      </w:tr>
      <w:tr>
        <w:trPr>
          <w:trHeight w:val="440"/>
        </w:trPr>
        <w:tc>
          <w:tcPr>
            <w:tcW w:type="dxa" w:w="4819"/>
          </w:tcPr>
          <w:p>
            <w:r>
              <w:rPr>
                <w:sz w:val="17"/>
              </w:rPr>
            </w:r>
          </w:p>
        </w:tc>
        <w:tc>
          <w:tcPr>
            <w:tcW w:type="dxa" w:w="4819"/>
          </w:tcPr>
          <w:p>
            <w:r>
              <w:rPr>
                <w:sz w:val="17"/>
              </w:rPr>
            </w:r>
          </w:p>
        </w:tc>
      </w:tr>
      <w:tr>
        <w:trPr>
          <w:trHeight w:val="440"/>
        </w:trPr>
        <w:tc>
          <w:tcPr>
            <w:tcW w:type="dxa" w:w="4819"/>
          </w:tcPr>
          <w:p>
            <w:r>
              <w:rPr>
                <w:sz w:val="17"/>
              </w:rPr>
            </w:r>
          </w:p>
        </w:tc>
        <w:tc>
          <w:tcPr>
            <w:tcW w:type="dxa" w:w="4819"/>
          </w:tcPr>
          <w:p>
            <w:r>
              <w:rPr>
                <w:sz w:val="17"/>
              </w:rPr>
            </w:r>
          </w:p>
        </w:tc>
      </w:tr>
      <w:tr>
        <w:trPr>
          <w:trHeight w:val="440"/>
        </w:trPr>
        <w:tc>
          <w:tcPr>
            <w:tcW w:type="dxa" w:w="4819"/>
          </w:tcPr>
          <w:p>
            <w:r>
              <w:rPr>
                <w:sz w:val="17"/>
              </w:rPr>
            </w:r>
          </w:p>
        </w:tc>
        <w:tc>
          <w:tcPr>
            <w:tcW w:type="dxa" w:w="4819"/>
          </w:tcPr>
          <w:p>
            <w:r>
              <w:rPr>
                <w:sz w:val="17"/>
              </w:rPr>
            </w:r>
          </w:p>
        </w:tc>
      </w:tr>
    </w:tbl>
    <w:p/>
    <w:p>
      <w:r>
        <w:t>[ ] If no combination is conditional or avoidably incompatible, this is stated here in one sentence.</w:t>
      </w:r>
    </w:p>
    <w:p>
      <w:pPr>
        <w:pStyle w:val="Heading1"/>
      </w:pPr>
      <w:r>
        <w:rPr>
          <w:color w:val="1F3A5F"/>
        </w:rPr>
        <w:t>5. Confirmation tests</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E8EEF5"/>
          </w:tcPr>
          <w:p>
            <w:r/>
            <w:r>
              <w:rPr>
                <w:b/>
                <w:sz w:val="17"/>
              </w:rPr>
              <w:t>ID</w:t>
            </w:r>
          </w:p>
        </w:tc>
        <w:tc>
          <w:tcPr>
            <w:tcW w:type="dxa" w:w="1377"/>
            <w:shd w:val="clear" w:color="auto" w:fill="E8EEF5"/>
          </w:tcPr>
          <w:p>
            <w:r/>
            <w:r>
              <w:rPr>
                <w:b/>
                <w:sz w:val="17"/>
              </w:rPr>
              <w:t>Test and method</w:t>
            </w:r>
          </w:p>
        </w:tc>
        <w:tc>
          <w:tcPr>
            <w:tcW w:type="dxa" w:w="1377"/>
            <w:shd w:val="clear" w:color="auto" w:fill="E8EEF5"/>
          </w:tcPr>
          <w:p>
            <w:r/>
            <w:r>
              <w:rPr>
                <w:b/>
                <w:sz w:val="17"/>
              </w:rPr>
              <w:t>Conditions (°C, h, mixing ratio)</w:t>
            </w:r>
          </w:p>
        </w:tc>
        <w:tc>
          <w:tcPr>
            <w:tcW w:type="dxa" w:w="1377"/>
            <w:shd w:val="clear" w:color="auto" w:fill="E8EEF5"/>
          </w:tcPr>
          <w:p>
            <w:r/>
            <w:r>
              <w:rPr>
                <w:b/>
                <w:sz w:val="17"/>
              </w:rPr>
              <w:t>Acceptance criterion (from section 1)</w:t>
            </w:r>
          </w:p>
        </w:tc>
        <w:tc>
          <w:tcPr>
            <w:tcW w:type="dxa" w:w="1377"/>
            <w:shd w:val="clear" w:color="auto" w:fill="E8EEF5"/>
          </w:tcPr>
          <w:p>
            <w:r/>
            <w:r>
              <w:rPr>
                <w:b/>
                <w:sz w:val="17"/>
              </w:rPr>
              <w:t>Sample</w:t>
            </w:r>
          </w:p>
        </w:tc>
        <w:tc>
          <w:tcPr>
            <w:tcW w:type="dxa" w:w="1377"/>
            <w:shd w:val="clear" w:color="auto" w:fill="E8EEF5"/>
          </w:tcPr>
          <w:p>
            <w:r/>
            <w:r>
              <w:rPr>
                <w:b/>
                <w:sz w:val="17"/>
              </w:rPr>
              <w:t>Owner</w:t>
            </w:r>
          </w:p>
        </w:tc>
        <w:tc>
          <w:tcPr>
            <w:tcW w:type="dxa" w:w="1377"/>
            <w:shd w:val="clear" w:color="auto" w:fill="E8EEF5"/>
          </w:tcPr>
          <w:p>
            <w:r/>
            <w:r>
              <w:rPr>
                <w:b/>
                <w:sz w:val="17"/>
              </w:rPr>
              <w:t>Due date</w:t>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r>
        <w:trPr>
          <w:trHeight w:val="440"/>
        </w:trPr>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c>
          <w:tcPr>
            <w:tcW w:type="dxa" w:w="1377"/>
          </w:tcPr>
          <w:p>
            <w:r>
              <w:rPr>
                <w:sz w:val="17"/>
              </w:rPr>
            </w:r>
          </w:p>
        </w:tc>
      </w:tr>
    </w:tbl>
    <w:p/>
    <w:p>
      <w:r>
        <w:rPr>
          <w:b/>
        </w:rPr>
        <w:t xml:space="preserve">Test that decides the overall verdict: </w:t>
      </w:r>
      <w:r>
        <w:t>_________________________________</w:t>
      </w:r>
    </w:p>
    <w:p>
      <w:r>
        <w:t>[ ] Sections 7 and 10 of both safety data sheets were read before any mixing test.</w:t>
      </w:r>
    </w:p>
    <w:p>
      <w:r>
        <w:t>[ ] Mixing tests follow the site's written procedure and start with small quantities.</w:t>
      </w:r>
    </w:p>
    <w:p>
      <w:r>
        <w:t>[ ] Owners and due dates not yet agreed are marked to be agreed.</w:t>
      </w:r>
    </w:p>
    <w:p>
      <w:pPr>
        <w:pStyle w:val="Heading1"/>
      </w:pPr>
      <w:r>
        <w:rPr>
          <w:color w:val="1F3A5F"/>
        </w:rPr>
        <w:t>6. Limitations</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shd w:val="clear" w:color="auto" w:fill="E8EEF5"/>
          </w:tcPr>
          <w:p>
            <w:r/>
            <w:r>
              <w:rPr>
                <w:b/>
                <w:sz w:val="17"/>
              </w:rPr>
              <w:t>Open item (composition, grade, condition, typical value)</w:t>
            </w:r>
          </w:p>
        </w:tc>
        <w:tc>
          <w:tcPr>
            <w:tcW w:type="dxa" w:w="1928"/>
            <w:shd w:val="clear" w:color="auto" w:fill="E8EEF5"/>
          </w:tcPr>
          <w:p>
            <w:r/>
            <w:r>
              <w:rPr>
                <w:b/>
                <w:sz w:val="17"/>
              </w:rPr>
              <w:t>Verdict it holds up</w:t>
            </w:r>
          </w:p>
        </w:tc>
        <w:tc>
          <w:tcPr>
            <w:tcW w:type="dxa" w:w="1928"/>
            <w:shd w:val="clear" w:color="auto" w:fill="E8EEF5"/>
          </w:tcPr>
          <w:p>
            <w:r/>
            <w:r>
              <w:rPr>
                <w:b/>
                <w:sz w:val="17"/>
              </w:rPr>
              <w:t>How it will be settled</w:t>
            </w:r>
          </w:p>
        </w:tc>
        <w:tc>
          <w:tcPr>
            <w:tcW w:type="dxa" w:w="1928"/>
            <w:shd w:val="clear" w:color="auto" w:fill="E8EEF5"/>
          </w:tcPr>
          <w:p>
            <w:r/>
            <w:r>
              <w:rPr>
                <w:b/>
                <w:sz w:val="17"/>
              </w:rPr>
              <w:t>Who can settle it</w:t>
            </w:r>
          </w:p>
        </w:tc>
        <w:tc>
          <w:tcPr>
            <w:tcW w:type="dxa" w:w="1928"/>
            <w:shd w:val="clear" w:color="auto" w:fill="E8EEF5"/>
          </w:tcPr>
          <w:p>
            <w:r/>
            <w:r>
              <w:rPr>
                <w:b/>
                <w:sz w:val="17"/>
              </w:rPr>
              <w:t>By when</w:t>
            </w:r>
          </w:p>
        </w:tc>
      </w:tr>
      <w:tr>
        <w:trPr>
          <w:trHeight w:val="440"/>
        </w:trPr>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r>
      <w:tr>
        <w:trPr>
          <w:trHeight w:val="440"/>
        </w:trPr>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r>
      <w:tr>
        <w:trPr>
          <w:trHeight w:val="440"/>
        </w:trPr>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r>
      <w:tr>
        <w:trPr>
          <w:trHeight w:val="440"/>
        </w:trPr>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c>
          <w:tcPr>
            <w:tcW w:type="dxa" w:w="1928"/>
          </w:tcPr>
          <w:p>
            <w:r>
              <w:rPr>
                <w:sz w:val="17"/>
              </w:rPr>
            </w:r>
          </w:p>
        </w:tc>
      </w:tr>
    </w:tbl>
    <w:p/>
    <w:p>
      <w:r>
        <w:t>Changes that call for a new assessment.</w:t>
      </w:r>
    </w:p>
    <w:p>
      <w:r>
        <w:t>[ ] Added coexisting chemical</w:t>
      </w:r>
    </w:p>
    <w:p>
      <w:r>
        <w:t>[ ] Material change (gasket, seal, pipe, coating)</w:t>
      </w:r>
    </w:p>
    <w:p>
      <w:r>
        <w:t>[ ] Higher temperature or new cleaning step</w:t>
      </w:r>
    </w:p>
    <w:p>
      <w:r>
        <w:t>[ ] Changed dose, concentration or contact time</w:t>
      </w:r>
    </w:p>
    <w:p>
      <w:r>
        <w:t>[ ] Revised safety data sheet for either side</w:t>
      </w:r>
    </w:p>
    <w:p>
      <w:r>
        <w:t>[ ] New test result for a conditional row</w:t>
      </w:r>
    </w:p>
    <w:p>
      <w:r>
        <w:rPr>
          <w:b/>
        </w:rPr>
        <w:t xml:space="preserve">Next review date (YYYY-MM-DD): </w:t>
      </w:r>
      <w:r>
        <w:t>_________________________________________</w:t>
      </w:r>
    </w:p>
    <w:p>
      <w:r>
        <w:rPr>
          <w:b/>
        </w:rPr>
        <w:t xml:space="preserve">Issued by, date: </w:t>
      </w:r>
      <w:r>
        <w:t>_______________________________________________________</w:t>
      </w:r>
    </w:p>
    <w:p>
      <w:r>
        <w:br w:type="page"/>
      </w:r>
    </w:p>
    <w:p>
      <w:pPr>
        <w:pStyle w:val="Heading1"/>
      </w:pPr>
      <w:r>
        <w:rPr>
          <w:color w:val="1F3A5F"/>
        </w:rPr>
        <w:t>Example (illustrative)</w:t>
      </w:r>
    </w:p>
    <w:p>
      <w:r>
        <w:t>Every product, value, name and date on this page is invented to show how the worksheet is filled in. It is not data from a real system and not a verdict for any product.</w:t>
      </w:r>
    </w:p>
    <w:p>
      <w:r>
        <w:t>Question: can Product A, an acidic cleaner, be used in a circuit that also receives Biocide B and has EPDM gaskets and 316L stainless steel pipe? (illustrative)</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E8EEF5"/>
          </w:tcPr>
          <w:p>
            <w:r/>
            <w:r>
              <w:rPr>
                <w:b/>
                <w:sz w:val="17"/>
              </w:rPr>
              <w:t>ID</w:t>
            </w:r>
          </w:p>
        </w:tc>
        <w:tc>
          <w:tcPr>
            <w:tcW w:type="dxa" w:w="1377"/>
            <w:shd w:val="clear" w:color="auto" w:fill="E8EEF5"/>
          </w:tcPr>
          <w:p>
            <w:r/>
            <w:r>
              <w:rPr>
                <w:b/>
                <w:sz w:val="17"/>
              </w:rPr>
              <w:t>Axis</w:t>
            </w:r>
          </w:p>
        </w:tc>
        <w:tc>
          <w:tcPr>
            <w:tcW w:type="dxa" w:w="1377"/>
            <w:shd w:val="clear" w:color="auto" w:fill="E8EEF5"/>
          </w:tcPr>
          <w:p>
            <w:r/>
            <w:r>
              <w:rPr>
                <w:b/>
                <w:sz w:val="17"/>
              </w:rPr>
              <w:t>Other side</w:t>
            </w:r>
          </w:p>
        </w:tc>
        <w:tc>
          <w:tcPr>
            <w:tcW w:type="dxa" w:w="1377"/>
            <w:shd w:val="clear" w:color="auto" w:fill="E8EEF5"/>
          </w:tcPr>
          <w:p>
            <w:r/>
            <w:r>
              <w:rPr>
                <w:b/>
                <w:sz w:val="17"/>
              </w:rPr>
              <w:t>Contact point</w:t>
            </w:r>
          </w:p>
        </w:tc>
        <w:tc>
          <w:tcPr>
            <w:tcW w:type="dxa" w:w="1377"/>
            <w:shd w:val="clear" w:color="auto" w:fill="E8EEF5"/>
          </w:tcPr>
          <w:p>
            <w:r/>
            <w:r>
              <w:rPr>
                <w:b/>
                <w:sz w:val="17"/>
              </w:rPr>
              <w:t>Concentration (%)</w:t>
            </w:r>
          </w:p>
        </w:tc>
        <w:tc>
          <w:tcPr>
            <w:tcW w:type="dxa" w:w="1377"/>
            <w:shd w:val="clear" w:color="auto" w:fill="E8EEF5"/>
          </w:tcPr>
          <w:p>
            <w:r/>
            <w:r>
              <w:rPr>
                <w:b/>
                <w:sz w:val="17"/>
              </w:rPr>
              <w:t>Temperature range (°C)</w:t>
            </w:r>
          </w:p>
        </w:tc>
        <w:tc>
          <w:tcPr>
            <w:tcW w:type="dxa" w:w="1377"/>
            <w:shd w:val="clear" w:color="auto" w:fill="E8EEF5"/>
          </w:tcPr>
          <w:p>
            <w:r/>
            <w:r>
              <w:rPr>
                <w:b/>
                <w:sz w:val="17"/>
              </w:rPr>
              <w:t>Contact time (h)</w:t>
            </w:r>
          </w:p>
        </w:tc>
      </w:tr>
      <w:tr>
        <w:trPr>
          <w:trHeight w:val="440"/>
        </w:trPr>
        <w:tc>
          <w:tcPr>
            <w:tcW w:type="dxa" w:w="1377"/>
          </w:tcPr>
          <w:p>
            <w:r>
              <w:rPr>
                <w:sz w:val="17"/>
              </w:rPr>
              <w:t>C-01</w:t>
            </w:r>
          </w:p>
        </w:tc>
        <w:tc>
          <w:tcPr>
            <w:tcW w:type="dxa" w:w="1377"/>
          </w:tcPr>
          <w:p>
            <w:r>
              <w:rPr>
                <w:sz w:val="17"/>
              </w:rPr>
              <w:t>Coexisting chemical</w:t>
            </w:r>
          </w:p>
        </w:tc>
        <w:tc>
          <w:tcPr>
            <w:tcW w:type="dxa" w:w="1377"/>
          </w:tcPr>
          <w:p>
            <w:r>
              <w:rPr>
                <w:sz w:val="17"/>
              </w:rPr>
              <w:t>Biocide B, neat</w:t>
            </w:r>
          </w:p>
        </w:tc>
        <w:tc>
          <w:tcPr>
            <w:tcW w:type="dxa" w:w="1377"/>
          </w:tcPr>
          <w:p>
            <w:r>
              <w:rPr>
                <w:sz w:val="17"/>
              </w:rPr>
              <w:t>Shared bund</w:t>
            </w:r>
          </w:p>
        </w:tc>
        <w:tc>
          <w:tcPr>
            <w:tcW w:type="dxa" w:w="1377"/>
          </w:tcPr>
          <w:p>
            <w:r>
              <w:rPr>
                <w:sz w:val="17"/>
              </w:rPr>
              <w:t>100</w:t>
            </w:r>
          </w:p>
        </w:tc>
        <w:tc>
          <w:tcPr>
            <w:tcW w:type="dxa" w:w="1377"/>
          </w:tcPr>
          <w:p>
            <w:r>
              <w:rPr>
                <w:sz w:val="17"/>
              </w:rPr>
              <w:t>5 to 35</w:t>
            </w:r>
          </w:p>
        </w:tc>
        <w:tc>
          <w:tcPr>
            <w:tcW w:type="dxa" w:w="1377"/>
          </w:tcPr>
          <w:p>
            <w:r>
              <w:rPr>
                <w:sz w:val="17"/>
              </w:rPr>
              <w:t>Spill event</w:t>
            </w:r>
          </w:p>
        </w:tc>
      </w:tr>
      <w:tr>
        <w:trPr>
          <w:trHeight w:val="440"/>
        </w:trPr>
        <w:tc>
          <w:tcPr>
            <w:tcW w:type="dxa" w:w="1377"/>
          </w:tcPr>
          <w:p>
            <w:r>
              <w:rPr>
                <w:sz w:val="17"/>
              </w:rPr>
              <w:t>C-02</w:t>
            </w:r>
          </w:p>
        </w:tc>
        <w:tc>
          <w:tcPr>
            <w:tcW w:type="dxa" w:w="1377"/>
          </w:tcPr>
          <w:p>
            <w:r>
              <w:rPr>
                <w:sz w:val="17"/>
              </w:rPr>
              <w:t>Coexisting chemical</w:t>
            </w:r>
          </w:p>
        </w:tc>
        <w:tc>
          <w:tcPr>
            <w:tcW w:type="dxa" w:w="1377"/>
          </w:tcPr>
          <w:p>
            <w:r>
              <w:rPr>
                <w:sz w:val="17"/>
              </w:rPr>
              <w:t>Biocide B, in circuit</w:t>
            </w:r>
          </w:p>
        </w:tc>
        <w:tc>
          <w:tcPr>
            <w:tcW w:type="dxa" w:w="1377"/>
          </w:tcPr>
          <w:p>
            <w:r>
              <w:rPr>
                <w:sz w:val="17"/>
              </w:rPr>
              <w:t>Circuit water</w:t>
            </w:r>
          </w:p>
        </w:tc>
        <w:tc>
          <w:tcPr>
            <w:tcW w:type="dxa" w:w="1377"/>
          </w:tcPr>
          <w:p>
            <w:r>
              <w:rPr>
                <w:sz w:val="17"/>
              </w:rPr>
              <w:t>2</w:t>
            </w:r>
          </w:p>
        </w:tc>
        <w:tc>
          <w:tcPr>
            <w:tcW w:type="dxa" w:w="1377"/>
          </w:tcPr>
          <w:p>
            <w:r>
              <w:rPr>
                <w:sz w:val="17"/>
              </w:rPr>
              <w:t>15 to 45</w:t>
            </w:r>
          </w:p>
        </w:tc>
        <w:tc>
          <w:tcPr>
            <w:tcW w:type="dxa" w:w="1377"/>
          </w:tcPr>
          <w:p>
            <w:r>
              <w:rPr>
                <w:sz w:val="17"/>
              </w:rPr>
              <w:t>Continuous</w:t>
            </w:r>
          </w:p>
        </w:tc>
      </w:tr>
      <w:tr>
        <w:trPr>
          <w:trHeight w:val="440"/>
        </w:trPr>
        <w:tc>
          <w:tcPr>
            <w:tcW w:type="dxa" w:w="1377"/>
          </w:tcPr>
          <w:p>
            <w:r>
              <w:rPr>
                <w:sz w:val="17"/>
              </w:rPr>
              <w:t>C-03</w:t>
            </w:r>
          </w:p>
        </w:tc>
        <w:tc>
          <w:tcPr>
            <w:tcW w:type="dxa" w:w="1377"/>
          </w:tcPr>
          <w:p>
            <w:r>
              <w:rPr>
                <w:sz w:val="17"/>
              </w:rPr>
              <w:t>Wetted material</w:t>
            </w:r>
          </w:p>
        </w:tc>
        <w:tc>
          <w:tcPr>
            <w:tcW w:type="dxa" w:w="1377"/>
          </w:tcPr>
          <w:p>
            <w:r>
              <w:rPr>
                <w:sz w:val="17"/>
              </w:rPr>
              <w:t>EPDM gaskets</w:t>
            </w:r>
          </w:p>
        </w:tc>
        <w:tc>
          <w:tcPr>
            <w:tcW w:type="dxa" w:w="1377"/>
          </w:tcPr>
          <w:p>
            <w:r>
              <w:rPr>
                <w:sz w:val="17"/>
              </w:rPr>
              <w:t>Dosing line</w:t>
            </w:r>
          </w:p>
        </w:tc>
        <w:tc>
          <w:tcPr>
            <w:tcW w:type="dxa" w:w="1377"/>
          </w:tcPr>
          <w:p>
            <w:r>
              <w:rPr>
                <w:sz w:val="17"/>
              </w:rPr>
              <w:t>2</w:t>
            </w:r>
          </w:p>
        </w:tc>
        <w:tc>
          <w:tcPr>
            <w:tcW w:type="dxa" w:w="1377"/>
          </w:tcPr>
          <w:p>
            <w:r>
              <w:rPr>
                <w:sz w:val="17"/>
              </w:rPr>
              <w:t>15 to 45, cleaning 70</w:t>
            </w:r>
          </w:p>
        </w:tc>
        <w:tc>
          <w:tcPr>
            <w:tcW w:type="dxa" w:w="1377"/>
          </w:tcPr>
          <w:p>
            <w:r>
              <w:rPr>
                <w:sz w:val="17"/>
              </w:rPr>
              <w:t>Continuous</w:t>
            </w:r>
          </w:p>
        </w:tc>
      </w:tr>
      <w:tr>
        <w:trPr>
          <w:trHeight w:val="440"/>
        </w:trPr>
        <w:tc>
          <w:tcPr>
            <w:tcW w:type="dxa" w:w="1377"/>
          </w:tcPr>
          <w:p>
            <w:r>
              <w:rPr>
                <w:sz w:val="17"/>
              </w:rPr>
              <w:t>C-03N</w:t>
            </w:r>
          </w:p>
        </w:tc>
        <w:tc>
          <w:tcPr>
            <w:tcW w:type="dxa" w:w="1377"/>
          </w:tcPr>
          <w:p>
            <w:r>
              <w:rPr>
                <w:sz w:val="17"/>
              </w:rPr>
              <w:t>Wetted material</w:t>
            </w:r>
          </w:p>
        </w:tc>
        <w:tc>
          <w:tcPr>
            <w:tcW w:type="dxa" w:w="1377"/>
          </w:tcPr>
          <w:p>
            <w:r>
              <w:rPr>
                <w:sz w:val="17"/>
              </w:rPr>
              <w:t>EPDM gaskets, neat product</w:t>
            </w:r>
          </w:p>
        </w:tc>
        <w:tc>
          <w:tcPr>
            <w:tcW w:type="dxa" w:w="1377"/>
          </w:tcPr>
          <w:p>
            <w:r>
              <w:rPr>
                <w:sz w:val="17"/>
              </w:rPr>
              <w:t>Dosing line</w:t>
            </w:r>
          </w:p>
        </w:tc>
        <w:tc>
          <w:tcPr>
            <w:tcW w:type="dxa" w:w="1377"/>
          </w:tcPr>
          <w:p>
            <w:r>
              <w:rPr>
                <w:sz w:val="17"/>
              </w:rPr>
              <w:t>100</w:t>
            </w:r>
          </w:p>
        </w:tc>
        <w:tc>
          <w:tcPr>
            <w:tcW w:type="dxa" w:w="1377"/>
          </w:tcPr>
          <w:p>
            <w:r>
              <w:rPr>
                <w:sz w:val="17"/>
              </w:rPr>
              <w:t>15 to 45</w:t>
            </w:r>
          </w:p>
        </w:tc>
        <w:tc>
          <w:tcPr>
            <w:tcW w:type="dxa" w:w="1377"/>
          </w:tcPr>
          <w:p>
            <w:r>
              <w:rPr>
                <w:sz w:val="17"/>
              </w:rPr>
              <w:t>Continuous</w:t>
            </w:r>
          </w:p>
        </w:tc>
      </w:tr>
      <w:tr>
        <w:trPr>
          <w:trHeight w:val="440"/>
        </w:trPr>
        <w:tc>
          <w:tcPr>
            <w:tcW w:type="dxa" w:w="1377"/>
          </w:tcPr>
          <w:p>
            <w:r>
              <w:rPr>
                <w:sz w:val="17"/>
              </w:rPr>
              <w:t>C-04</w:t>
            </w:r>
          </w:p>
        </w:tc>
        <w:tc>
          <w:tcPr>
            <w:tcW w:type="dxa" w:w="1377"/>
          </w:tcPr>
          <w:p>
            <w:r>
              <w:rPr>
                <w:sz w:val="17"/>
              </w:rPr>
              <w:t>Wetted material</w:t>
            </w:r>
          </w:p>
        </w:tc>
        <w:tc>
          <w:tcPr>
            <w:tcW w:type="dxa" w:w="1377"/>
          </w:tcPr>
          <w:p>
            <w:r>
              <w:rPr>
                <w:sz w:val="17"/>
              </w:rPr>
              <w:t>316L pipe</w:t>
            </w:r>
          </w:p>
        </w:tc>
        <w:tc>
          <w:tcPr>
            <w:tcW w:type="dxa" w:w="1377"/>
          </w:tcPr>
          <w:p>
            <w:r>
              <w:rPr>
                <w:sz w:val="17"/>
              </w:rPr>
              <w:t>Circuit</w:t>
            </w:r>
          </w:p>
        </w:tc>
        <w:tc>
          <w:tcPr>
            <w:tcW w:type="dxa" w:w="1377"/>
          </w:tcPr>
          <w:p>
            <w:r>
              <w:rPr>
                <w:sz w:val="17"/>
              </w:rPr>
              <w:t>2</w:t>
            </w:r>
          </w:p>
        </w:tc>
        <w:tc>
          <w:tcPr>
            <w:tcW w:type="dxa" w:w="1377"/>
          </w:tcPr>
          <w:p>
            <w:r>
              <w:rPr>
                <w:sz w:val="17"/>
              </w:rPr>
              <w:t>15 to 45</w:t>
            </w:r>
          </w:p>
        </w:tc>
        <w:tc>
          <w:tcPr>
            <w:tcW w:type="dxa" w:w="1377"/>
          </w:tcPr>
          <w:p>
            <w:r>
              <w:rPr>
                <w:sz w:val="17"/>
              </w:rPr>
              <w:t>Continuous</w:t>
            </w:r>
          </w:p>
        </w:tc>
      </w:tr>
    </w:tbl>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shd w:val="clear" w:color="auto" w:fill="E8EEF5"/>
          </w:tcPr>
          <w:p>
            <w:r/>
            <w:r>
              <w:rPr>
                <w:b/>
                <w:sz w:val="17"/>
              </w:rPr>
              <w:t>Product</w:t>
            </w:r>
          </w:p>
        </w:tc>
        <w:tc>
          <w:tcPr>
            <w:tcW w:type="dxa" w:w="1928"/>
            <w:shd w:val="clear" w:color="auto" w:fill="E8EEF5"/>
          </w:tcPr>
          <w:p>
            <w:r/>
            <w:r>
              <w:rPr>
                <w:b/>
                <w:sz w:val="17"/>
              </w:rPr>
              <w:t>Component</w:t>
            </w:r>
          </w:p>
        </w:tc>
        <w:tc>
          <w:tcPr>
            <w:tcW w:type="dxa" w:w="1928"/>
            <w:shd w:val="clear" w:color="auto" w:fill="E8EEF5"/>
          </w:tcPr>
          <w:p>
            <w:r/>
            <w:r>
              <w:rPr>
                <w:b/>
                <w:sz w:val="17"/>
              </w:rPr>
              <w:t>CAS number</w:t>
            </w:r>
          </w:p>
        </w:tc>
        <w:tc>
          <w:tcPr>
            <w:tcW w:type="dxa" w:w="1928"/>
            <w:shd w:val="clear" w:color="auto" w:fill="E8EEF5"/>
          </w:tcPr>
          <w:p>
            <w:r/>
            <w:r>
              <w:rPr>
                <w:b/>
                <w:sz w:val="17"/>
              </w:rPr>
              <w:t>Concentration band (%)</w:t>
            </w:r>
          </w:p>
        </w:tc>
        <w:tc>
          <w:tcPr>
            <w:tcW w:type="dxa" w:w="1928"/>
            <w:shd w:val="clear" w:color="auto" w:fill="E8EEF5"/>
          </w:tcPr>
          <w:p>
            <w:r/>
            <w:r>
              <w:rPr>
                <w:b/>
                <w:sz w:val="17"/>
              </w:rPr>
              <w:t>SDS section 10 incompatibilities</w:t>
            </w:r>
          </w:p>
        </w:tc>
      </w:tr>
      <w:tr>
        <w:trPr>
          <w:trHeight w:val="440"/>
        </w:trPr>
        <w:tc>
          <w:tcPr>
            <w:tcW w:type="dxa" w:w="1928"/>
          </w:tcPr>
          <w:p>
            <w:r>
              <w:rPr>
                <w:sz w:val="17"/>
              </w:rPr>
              <w:t>Product A</w:t>
            </w:r>
          </w:p>
        </w:tc>
        <w:tc>
          <w:tcPr>
            <w:tcW w:type="dxa" w:w="1928"/>
          </w:tcPr>
          <w:p>
            <w:r>
              <w:rPr>
                <w:sz w:val="17"/>
              </w:rPr>
              <w:t>Phosphoric acid</w:t>
            </w:r>
          </w:p>
        </w:tc>
        <w:tc>
          <w:tcPr>
            <w:tcW w:type="dxa" w:w="1928"/>
          </w:tcPr>
          <w:p>
            <w:r>
              <w:rPr>
                <w:sz w:val="17"/>
              </w:rPr>
              <w:t>7664-38-2</w:t>
            </w:r>
          </w:p>
        </w:tc>
        <w:tc>
          <w:tcPr>
            <w:tcW w:type="dxa" w:w="1928"/>
          </w:tcPr>
          <w:p>
            <w:r>
              <w:rPr>
                <w:sz w:val="17"/>
              </w:rPr>
              <w:t>10 to 20</w:t>
            </w:r>
          </w:p>
        </w:tc>
        <w:tc>
          <w:tcPr>
            <w:tcW w:type="dxa" w:w="1928"/>
          </w:tcPr>
          <w:p>
            <w:r>
              <w:rPr>
                <w:sz w:val="17"/>
              </w:rPr>
              <w:t>Strong bases, oxidizers (illustrative)</w:t>
            </w:r>
          </w:p>
        </w:tc>
      </w:tr>
    </w:tbl>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EEF5"/>
          </w:tcPr>
          <w:p>
            <w:r/>
            <w:r>
              <w:rPr>
                <w:b/>
                <w:sz w:val="17"/>
              </w:rPr>
              <w:t>ID</w:t>
            </w:r>
          </w:p>
        </w:tc>
        <w:tc>
          <w:tcPr>
            <w:tcW w:type="dxa" w:w="2409"/>
            <w:shd w:val="clear" w:color="auto" w:fill="E8EEF5"/>
          </w:tcPr>
          <w:p>
            <w:r/>
            <w:r>
              <w:rPr>
                <w:b/>
                <w:sz w:val="17"/>
              </w:rPr>
              <w:t>Deciding value against limit</w:t>
            </w:r>
          </w:p>
        </w:tc>
        <w:tc>
          <w:tcPr>
            <w:tcW w:type="dxa" w:w="2409"/>
            <w:shd w:val="clear" w:color="auto" w:fill="E8EEF5"/>
          </w:tcPr>
          <w:p>
            <w:r/>
            <w:r>
              <w:rPr>
                <w:b/>
                <w:sz w:val="17"/>
              </w:rPr>
              <w:t>Verdict</w:t>
            </w:r>
          </w:p>
        </w:tc>
        <w:tc>
          <w:tcPr>
            <w:tcW w:type="dxa" w:w="2409"/>
            <w:shd w:val="clear" w:color="auto" w:fill="E8EEF5"/>
          </w:tcPr>
          <w:p>
            <w:r/>
            <w:r>
              <w:rPr>
                <w:b/>
                <w:sz w:val="17"/>
              </w:rPr>
              <w:t>Next step</w:t>
            </w:r>
          </w:p>
        </w:tc>
      </w:tr>
      <w:tr>
        <w:trPr>
          <w:trHeight w:val="440"/>
        </w:trPr>
        <w:tc>
          <w:tcPr>
            <w:tcW w:type="dxa" w:w="2409"/>
          </w:tcPr>
          <w:p>
            <w:r>
              <w:rPr>
                <w:sz w:val="17"/>
              </w:rPr>
              <w:t>C-01</w:t>
            </w:r>
          </w:p>
        </w:tc>
        <w:tc>
          <w:tcPr>
            <w:tcW w:type="dxa" w:w="2409"/>
          </w:tcPr>
          <w:p>
            <w:r>
              <w:rPr>
                <w:sz w:val="17"/>
              </w:rPr>
              <w:t>SDS section 10 of Biocide B lists acids as incompatible</w:t>
            </w:r>
          </w:p>
        </w:tc>
        <w:tc>
          <w:tcPr>
            <w:tcW w:type="dxa" w:w="2409"/>
          </w:tcPr>
          <w:p>
            <w:r>
              <w:rPr>
                <w:sz w:val="17"/>
              </w:rPr>
              <w:t>I</w:t>
            </w:r>
          </w:p>
        </w:tc>
        <w:tc>
          <w:tcPr>
            <w:tcW w:type="dxa" w:w="2409"/>
          </w:tcPr>
          <w:p>
            <w:r>
              <w:rPr>
                <w:sz w:val="17"/>
              </w:rPr>
              <w:t>Separate bunds and dosing lines</w:t>
            </w:r>
          </w:p>
        </w:tc>
      </w:tr>
      <w:tr>
        <w:trPr>
          <w:trHeight w:val="440"/>
        </w:trPr>
        <w:tc>
          <w:tcPr>
            <w:tcW w:type="dxa" w:w="2409"/>
          </w:tcPr>
          <w:p>
            <w:r>
              <w:rPr>
                <w:sz w:val="17"/>
              </w:rPr>
              <w:t>C-02</w:t>
            </w:r>
          </w:p>
        </w:tc>
        <w:tc>
          <w:tcPr>
            <w:tcW w:type="dxa" w:w="2409"/>
          </w:tcPr>
          <w:p>
            <w:r>
              <w:rPr>
                <w:sz w:val="17"/>
              </w:rPr>
              <w:t>No data at in-use dilution</w:t>
            </w:r>
          </w:p>
        </w:tc>
        <w:tc>
          <w:tcPr>
            <w:tcW w:type="dxa" w:w="2409"/>
          </w:tcPr>
          <w:p>
            <w:r>
              <w:rPr>
                <w:sz w:val="17"/>
              </w:rPr>
              <w:t>CC</w:t>
            </w:r>
          </w:p>
        </w:tc>
        <w:tc>
          <w:tcPr>
            <w:tcW w:type="dxa" w:w="2409"/>
          </w:tcPr>
          <w:p>
            <w:r>
              <w:rPr>
                <w:sz w:val="17"/>
              </w:rPr>
              <w:t>Bottle test at system ratio</w:t>
            </w:r>
          </w:p>
        </w:tc>
      </w:tr>
      <w:tr>
        <w:trPr>
          <w:trHeight w:val="440"/>
        </w:trPr>
        <w:tc>
          <w:tcPr>
            <w:tcW w:type="dxa" w:w="2409"/>
          </w:tcPr>
          <w:p>
            <w:r>
              <w:rPr>
                <w:sz w:val="17"/>
              </w:rPr>
              <w:t>C-03</w:t>
            </w:r>
          </w:p>
        </w:tc>
        <w:tc>
          <w:tcPr>
            <w:tcW w:type="dxa" w:w="2409"/>
          </w:tcPr>
          <w:p>
            <w:r>
              <w:rPr>
                <w:sz w:val="17"/>
              </w:rPr>
              <w:t>Supplier chart rates EPDM good at 23 °C, typical</w:t>
            </w:r>
          </w:p>
        </w:tc>
        <w:tc>
          <w:tcPr>
            <w:tcW w:type="dxa" w:w="2409"/>
          </w:tcPr>
          <w:p>
            <w:r>
              <w:rPr>
                <w:sz w:val="17"/>
              </w:rPr>
              <w:t>CC</w:t>
            </w:r>
          </w:p>
        </w:tc>
        <w:tc>
          <w:tcPr>
            <w:tcW w:type="dxa" w:w="2409"/>
          </w:tcPr>
          <w:p>
            <w:r>
              <w:rPr>
                <w:sz w:val="17"/>
              </w:rPr>
              <w:t>Immersion test at 70 °C, 168 h</w:t>
            </w:r>
          </w:p>
        </w:tc>
      </w:tr>
      <w:tr>
        <w:trPr>
          <w:trHeight w:val="440"/>
        </w:trPr>
        <w:tc>
          <w:tcPr>
            <w:tcW w:type="dxa" w:w="2409"/>
          </w:tcPr>
          <w:p>
            <w:r>
              <w:rPr>
                <w:sz w:val="17"/>
              </w:rPr>
              <w:t>C-03N</w:t>
            </w:r>
          </w:p>
        </w:tc>
        <w:tc>
          <w:tcPr>
            <w:tcW w:type="dxa" w:w="2409"/>
          </w:tcPr>
          <w:p>
            <w:r>
              <w:rPr>
                <w:sz w:val="17"/>
              </w:rPr>
              <w:t>Supplier chart rates EPDM good at 23 °C, typical; neat product in dosing line</w:t>
            </w:r>
          </w:p>
        </w:tc>
        <w:tc>
          <w:tcPr>
            <w:tcW w:type="dxa" w:w="2409"/>
          </w:tcPr>
          <w:p>
            <w:r>
              <w:rPr>
                <w:sz w:val="17"/>
              </w:rPr>
              <w:t>CC</w:t>
            </w:r>
          </w:p>
        </w:tc>
        <w:tc>
          <w:tcPr>
            <w:tcW w:type="dxa" w:w="2409"/>
          </w:tcPr>
          <w:p>
            <w:r>
              <w:rPr>
                <w:sz w:val="17"/>
              </w:rPr>
              <w:t>Immersion test at 70 °C, 168 h</w:t>
            </w:r>
          </w:p>
        </w:tc>
      </w:tr>
      <w:tr>
        <w:trPr>
          <w:trHeight w:val="440"/>
        </w:trPr>
        <w:tc>
          <w:tcPr>
            <w:tcW w:type="dxa" w:w="2409"/>
          </w:tcPr>
          <w:p>
            <w:r>
              <w:rPr>
                <w:sz w:val="17"/>
              </w:rPr>
              <w:t>C-04</w:t>
            </w:r>
          </w:p>
        </w:tc>
        <w:tc>
          <w:tcPr>
            <w:tcW w:type="dxa" w:w="2409"/>
          </w:tcPr>
          <w:p>
            <w:r>
              <w:rPr>
                <w:sz w:val="17"/>
              </w:rPr>
              <w:t>Corrosion rate below limit at 50 °C, supplier test</w:t>
            </w:r>
          </w:p>
        </w:tc>
        <w:tc>
          <w:tcPr>
            <w:tcW w:type="dxa" w:w="2409"/>
          </w:tcPr>
          <w:p>
            <w:r>
              <w:rPr>
                <w:sz w:val="17"/>
              </w:rPr>
              <w:t>C</w:t>
            </w:r>
          </w:p>
        </w:tc>
        <w:tc>
          <w:tcPr>
            <w:tcW w:type="dxa" w:w="2409"/>
          </w:tcPr>
          <w:p>
            <w:r>
              <w:rPr>
                <w:sz w:val="17"/>
              </w:rPr>
              <w:t>Hold below 50 °C</w:t>
            </w:r>
          </w:p>
        </w:tc>
      </w:tr>
    </w:tbl>
    <w:p/>
    <w:p>
      <w:r>
        <w:t>Overall verdict (illustrative): incompatible until C-01 is separated; then conditionally compatible pending the C-02 bottle test. Open item: gasket compound unconfirmed, settled by the maintenance planner.</w:t>
      </w:r>
    </w:p>
    <w:sectPr w:rsidR="00FC693F" w:rsidRPr="0006063C" w:rsidSect="00034616">
      <w:footerReference w:type="default" r:id="rId9"/>
      <w:pgSz w:w="11906" w:h="16838"/>
      <w:pgMar w:top="1134" w:right="1134" w:bottom="2551" w:left="1134" w:header="720" w:footer="170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www.lubinpla.com/post/chemical-compatibility-worksheet-template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