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eastAsia="Malgun Gothic"/>
          <w:color w:val="1F3A5F"/>
        </w:rPr>
        <w:t>화학물질 상용성 검토표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2F2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검토표 사용 방법</w:t>
            </w:r>
          </w:p>
          <w:p>
            <w:r>
              <w:rPr>
                <w:rFonts w:eastAsia="Malgun Gothic"/>
                <w:b w:val="0"/>
                <w:sz w:val="17"/>
              </w:rPr>
              <w:t>질문 하나에 검토표 한 장을 씁니다. 질문은 이 제품을 이 시스템에서 만나는 것들과 함께 써도 되는가입니다. 섹션을 순서대로 채웁니다.</w:t>
            </w:r>
          </w:p>
          <w:p>
            <w:r>
              <w:rPr>
                <w:rFonts w:eastAsia="Malgun Gothic"/>
                <w:b w:val="0"/>
                <w:sz w:val="17"/>
              </w:rPr>
              <w:t>1. 모든 조합을 해당 구분(공존 약품, 접액 재질, 교체 시 잔류물)에 적고 농도(%), 온도 범위(°C, 기동 시, 세정 시, 계절별 극값 포함), 접촉 시간(h)을 함께 적습니다. 공용 라인, 방류벽, 누출에서 생기는 원액 접촉은 별도 행으로 추가합니다.</w:t>
            </w:r>
          </w:p>
          <w:p>
            <w:r>
              <w:rPr>
                <w:rFonts w:eastAsia="Malgun Gothic"/>
                <w:b w:val="0"/>
                <w:sz w:val="17"/>
              </w:rPr>
              <w:t>2. 차트 값이나 시험 값을 읽기 전에 구분마다 기준, 한계값, 출처를 적습니다.</w:t>
            </w:r>
          </w:p>
          <w:p>
            <w:r>
              <w:rPr>
                <w:rFonts w:eastAsia="Malgun Gothic"/>
                <w:b w:val="0"/>
                <w:sz w:val="17"/>
              </w:rPr>
              <w:t>3. 제품은 SDS 3번 항목의 성분, CAS 번호, 농도 범위로, 접액 재질은 등급으로 특정합니다. 상품명이나 재질 계열만으로는 그 행을 판단할 수 없습니다.</w:t>
            </w:r>
          </w:p>
          <w:p>
            <w:r>
              <w:rPr>
                <w:rFonts w:eastAsia="Malgun Gothic"/>
                <w:b w:val="0"/>
                <w:sz w:val="17"/>
              </w:rPr>
              <w:t>4. 공개 차트, 핸드북, 다른 현장의 경험에서 나온 값은 모두 측정 조건과 함께 대표값으로 표시합니다.</w:t>
            </w:r>
          </w:p>
          <w:p>
            <w:r>
              <w:rPr>
                <w:rFonts w:eastAsia="Malgun Gothic"/>
                <w:b w:val="0"/>
                <w:sz w:val="17"/>
              </w:rPr>
              <w:t>5. 조건부 판정마다 한계, 관찰 징후, 관찰 지점과 빈도, 중지 기준값을 정합니다.</w:t>
            </w:r>
          </w:p>
          <w:p>
            <w:r>
              <w:rPr>
                <w:rFonts w:eastAsia="Malgun Gothic"/>
                <w:b w:val="0"/>
                <w:sz w:val="17"/>
              </w:rPr>
              <w:t>6. 반응할 수 있는 약품의 혼합 시험이나 병 시험은 위험합니다. 섞기 전에 두 SDS의 7번과 10번 항목을 읽고, 소량부터 시작하며, 현장의 서면 절차를 따릅니다(미국 실험실에서는 OSHA 29 CFR 1910.1450에 따른 사업주의 Chemical Hygiene Plan).</w:t>
            </w:r>
          </w:p>
          <w:p>
            <w:r>
              <w:rPr>
                <w:rFonts w:eastAsia="Malgun Gothic"/>
                <w:b w:val="0"/>
                <w:sz w:val="17"/>
              </w:rPr>
              <w:t>판정: C = 상용성 있음(근거가 조건을 포괄), CC = 조건부 상용성(조건은 시험 또는 한계), I = 상용성 없음. 신뢰도: H(높음), M(중간), L(낮음).</w:t>
            </w:r>
          </w:p>
          <w:p>
            <w:r>
              <w:rPr>
                <w:rFonts w:eastAsia="Malgun Gothic"/>
                <w:b w:val="0"/>
                <w:sz w:val="17"/>
              </w:rPr>
              <w:t>예시는 빈 서식과 따로 마지막 페이지에 있습니다.</w:t>
            </w:r>
          </w:p>
        </w:tc>
      </w:tr>
    </w:tbl>
    <w:p/>
    <w:p>
      <w:r>
        <w:rPr>
          <w:rFonts w:eastAsia="Malgun Gothic"/>
          <w:b/>
        </w:rPr>
        <w:t xml:space="preserve">평가 ID: </w:t>
      </w:r>
      <w:r>
        <w:rPr>
          <w:rFonts w:eastAsia="Malgun Gothic"/>
        </w:rPr>
        <w:t>_________________________________________________________</w:t>
      </w:r>
    </w:p>
    <w:p>
      <w:r>
        <w:rPr>
          <w:rFonts w:eastAsia="Malgun Gothic"/>
          <w:b/>
        </w:rPr>
        <w:t xml:space="preserve">날짜(YYYY-MM-DD): </w:t>
      </w:r>
      <w:r>
        <w:rPr>
          <w:rFonts w:eastAsia="Malgun Gothic"/>
        </w:rPr>
        <w:t>_____________________________________________________</w:t>
      </w:r>
    </w:p>
    <w:p>
      <w:r>
        <w:rPr>
          <w:rFonts w:eastAsia="Malgun Gothic"/>
          <w:b/>
        </w:rPr>
        <w:t xml:space="preserve">작성자: </w:t>
      </w:r>
      <w:r>
        <w:rPr>
          <w:rFonts w:eastAsia="Malgun Gothic"/>
        </w:rPr>
        <w:t>___________________________________________________________</w:t>
      </w:r>
    </w:p>
    <w:p>
      <w:r>
        <w:rPr>
          <w:rFonts w:eastAsia="Malgun Gothic"/>
          <w:b/>
        </w:rPr>
        <w:t xml:space="preserve">검토자: </w:t>
      </w:r>
      <w:r>
        <w:rPr>
          <w:rFonts w:eastAsia="Malgun Gothic"/>
        </w:rPr>
        <w:t>___________________________________________________________</w:t>
      </w:r>
    </w:p>
    <w:p>
      <w:r>
        <w:rPr>
          <w:rFonts w:eastAsia="Malgun Gothic"/>
          <w:b/>
        </w:rPr>
        <w:t xml:space="preserve">고객과 현장: </w:t>
      </w:r>
      <w:r>
        <w:rPr>
          <w:rFonts w:eastAsia="Malgun Gothic"/>
        </w:rPr>
        <w:t>_____________________________________________________</w:t>
      </w:r>
    </w:p>
    <w:p>
      <w:r>
        <w:rPr>
          <w:rFonts w:eastAsia="Malgun Gothic"/>
          <w:b/>
        </w:rPr>
        <w:t xml:space="preserve">시스템: </w:t>
      </w:r>
      <w:r>
        <w:rPr>
          <w:rFonts w:eastAsia="Malgun Gothic"/>
        </w:rPr>
        <w:t>________________________________________________________________</w:t>
      </w:r>
    </w:p>
    <w:p>
      <w:r>
        <w:rPr>
          <w:rFonts w:eastAsia="Malgun Gothic"/>
          <w:b/>
        </w:rPr>
        <w:t xml:space="preserve">평가 제품(이름, SDS 개정일): </w:t>
      </w:r>
      <w:r>
        <w:rPr>
          <w:rFonts w:eastAsia="Malgun Gothic"/>
        </w:rPr>
        <w:t>____________________________</w:t>
      </w:r>
    </w:p>
    <w:p>
      <w:r>
        <w:rPr>
          <w:rFonts w:eastAsia="Malgun Gothic"/>
          <w:b/>
        </w:rPr>
        <w:t xml:space="preserve">질문(한 문장): </w:t>
      </w:r>
      <w:r>
        <w:rPr>
          <w:rFonts w:eastAsia="Malgun Gothic"/>
        </w:rPr>
        <w:t>_______________________________________________</w:t>
      </w:r>
    </w:p>
    <w:p>
      <w:pPr>
        <w:pStyle w:val="Heading1"/>
      </w:pPr>
      <w:r>
        <w:rPr>
          <w:rFonts w:eastAsia="Malgun Gothic"/>
          <w:color w:val="1F3A5F"/>
        </w:rPr>
        <w:t>1. 조합과 기준</w:t>
      </w:r>
    </w:p>
    <w:p>
      <w:r>
        <w:rPr>
          <w:rFonts w:eastAsia="Malgun Gothic"/>
        </w:rPr>
        <w:t>조합. 조합마다 한 행을 쓰고, 원액 접촉은 별도 행으로 씁니다.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71"/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>
        <w:tc>
          <w:tcPr>
            <w:tcW w:type="dxa" w:w="1071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ID</w:t>
            </w:r>
          </w:p>
        </w:tc>
        <w:tc>
          <w:tcPr>
            <w:tcW w:type="dxa" w:w="1071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구분(약품, 재질, 잔류물)</w:t>
            </w:r>
          </w:p>
        </w:tc>
        <w:tc>
          <w:tcPr>
            <w:tcW w:type="dxa" w:w="1071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상대 대상</w:t>
            </w:r>
          </w:p>
        </w:tc>
        <w:tc>
          <w:tcPr>
            <w:tcW w:type="dxa" w:w="1071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접촉 지점</w:t>
            </w:r>
          </w:p>
        </w:tc>
        <w:tc>
          <w:tcPr>
            <w:tcW w:type="dxa" w:w="1071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농도(%)</w:t>
            </w:r>
          </w:p>
        </w:tc>
        <w:tc>
          <w:tcPr>
            <w:tcW w:type="dxa" w:w="1071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온도 범위(°C)</w:t>
            </w:r>
          </w:p>
        </w:tc>
        <w:tc>
          <w:tcPr>
            <w:tcW w:type="dxa" w:w="1071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접촉 시간(h)</w:t>
            </w:r>
          </w:p>
        </w:tc>
        <w:tc>
          <w:tcPr>
            <w:tcW w:type="dxa" w:w="1071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원액 접촉(Y/N)</w:t>
            </w:r>
          </w:p>
        </w:tc>
        <w:tc>
          <w:tcPr>
            <w:tcW w:type="dxa" w:w="1071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회피 가능(Y/N)</w:t>
            </w:r>
          </w:p>
        </w:tc>
      </w:tr>
      <w:tr>
        <w:trPr>
          <w:trHeight w:val="440"/>
        </w:trPr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071"/>
          </w:tcPr>
          <w:p>
            <w:r>
              <w:rPr>
                <w:rFonts w:eastAsia="Malgun Gothic"/>
                <w:sz w:val="17"/>
              </w:rPr>
            </w:r>
          </w:p>
        </w:tc>
      </w:tr>
    </w:tbl>
    <w:p/>
    <w:p>
      <w:r>
        <w:rPr>
          <w:rFonts w:eastAsia="Malgun Gothic"/>
        </w:rPr>
        <w:t>기준. 어떤 값도 읽기 전에 정합니다.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구분</w:t>
            </w:r>
          </w:p>
        </w:tc>
        <w:tc>
          <w:tcPr>
            <w:tcW w:type="dxa" w:w="2409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기준(물성)</w:t>
            </w:r>
          </w:p>
        </w:tc>
        <w:tc>
          <w:tcPr>
            <w:tcW w:type="dxa" w:w="2409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한계값(값, 단위, 부호)</w:t>
            </w:r>
          </w:p>
        </w:tc>
        <w:tc>
          <w:tcPr>
            <w:tcW w:type="dxa" w:w="2409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출처(고객 규격, 제조사 확인서, 대표값)</w:t>
            </w:r>
          </w:p>
        </w:tc>
      </w:tr>
      <w:tr>
        <w:trPr>
          <w:trHeight w:val="440"/>
        </w:trPr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</w:tr>
    </w:tbl>
    <w:p/>
    <w:p>
      <w:r>
        <w:rPr>
          <w:rFonts w:eastAsia="Malgun Gothic"/>
        </w:rPr>
        <w:t>[ ] 차트 값이나 시험 값을 읽기 전에 기준과 한계값을 적었습니다.</w:t>
      </w:r>
    </w:p>
    <w:p>
      <w:r>
        <w:rPr>
          <w:rFonts w:eastAsia="Malgun Gothic"/>
        </w:rPr>
        <w:t>[ ] 공용 라인, 방류벽, 누출에서 생기는 원액 접촉은 별도 조합 행이 있습니다.</w:t>
      </w:r>
    </w:p>
    <w:p>
      <w:r>
        <w:rPr>
          <w:rFonts w:eastAsia="Malgun Gothic"/>
        </w:rPr>
        <w:t>[ ] 모든 온도 범위에 기동 시, 세정 시, 계절별 극값이 들어 있습니다.</w:t>
      </w:r>
    </w:p>
    <w:p>
      <w:pPr>
        <w:pStyle w:val="Heading1"/>
      </w:pPr>
      <w:r>
        <w:rPr>
          <w:rFonts w:eastAsia="Malgun Gothic"/>
          <w:color w:val="1F3A5F"/>
        </w:rPr>
        <w:t>2. 조성과 등급</w:t>
      </w:r>
    </w:p>
    <w:p>
      <w:r>
        <w:rPr>
          <w:rFonts w:eastAsia="Malgun Gothic"/>
        </w:rPr>
        <w:t>제품, 공존 약품, 이전 제품(SDS 3번 항목과 10번 항목 기준).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1377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제품</w:t>
            </w:r>
          </w:p>
        </w:tc>
        <w:tc>
          <w:tcPr>
            <w:tcW w:type="dxa" w:w="1377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성분</w:t>
            </w:r>
          </w:p>
        </w:tc>
        <w:tc>
          <w:tcPr>
            <w:tcW w:type="dxa" w:w="1377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CAS 번호</w:t>
            </w:r>
          </w:p>
        </w:tc>
        <w:tc>
          <w:tcPr>
            <w:tcW w:type="dxa" w:w="1377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농도 범위(%)</w:t>
            </w:r>
          </w:p>
        </w:tc>
        <w:tc>
          <w:tcPr>
            <w:tcW w:type="dxa" w:w="1377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공개 또는 내부</w:t>
            </w:r>
          </w:p>
        </w:tc>
        <w:tc>
          <w:tcPr>
            <w:tcW w:type="dxa" w:w="1377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SDS 10번 항목의 피해야 할 물질</w:t>
            </w:r>
          </w:p>
        </w:tc>
        <w:tc>
          <w:tcPr>
            <w:tcW w:type="dxa" w:w="1377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SDS 개정일</w:t>
            </w:r>
          </w:p>
        </w:tc>
      </w:tr>
      <w:tr>
        <w:trPr>
          <w:trHeight w:val="440"/>
        </w:trPr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</w:tr>
    </w:tbl>
    <w:p/>
    <w:p>
      <w:r>
        <w:rPr>
          <w:rFonts w:eastAsia="Malgun Gothic"/>
        </w:rPr>
        <w:t>접액 재질.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재질과 위치</w:t>
            </w:r>
          </w:p>
        </w:tc>
        <w:tc>
          <w:tcPr>
            <w:tcW w:type="dxa" w:w="2409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등급(합금, 컴파운드, 고분자, 코팅 시스템)</w:t>
            </w:r>
          </w:p>
        </w:tc>
        <w:tc>
          <w:tcPr>
            <w:tcW w:type="dxa" w:w="2409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정보가 나온 기록</w:t>
            </w:r>
          </w:p>
        </w:tc>
        <w:tc>
          <w:tcPr>
            <w:tcW w:type="dxa" w:w="2409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등급 확인 여부(Y/N)</w:t>
            </w:r>
          </w:p>
        </w:tc>
      </w:tr>
      <w:tr>
        <w:trPr>
          <w:trHeight w:val="440"/>
        </w:trPr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</w:r>
          </w:p>
        </w:tc>
      </w:tr>
    </w:tbl>
    <w:p/>
    <w:p>
      <w:r>
        <w:rPr>
          <w:rFonts w:eastAsia="Malgun Gothic"/>
        </w:rPr>
        <w:t>[ ] 제품 행마다 고객 관할 지역의 SDS를 썼습니다.</w:t>
      </w:r>
    </w:p>
    <w:p>
      <w:r>
        <w:rPr>
          <w:rFonts w:eastAsia="Malgun Gothic"/>
        </w:rPr>
        <w:t>[ ] 계열로만 알려진 재질은 모두 등급 미확인으로 표시했습니다.</w:t>
      </w:r>
    </w:p>
    <w:p>
      <w:pPr>
        <w:pStyle w:val="Heading1"/>
      </w:pPr>
      <w:r>
        <w:rPr>
          <w:rFonts w:eastAsia="Malgun Gothic"/>
          <w:color w:val="1F3A5F"/>
        </w:rPr>
        <w:t>3. 조합별 판정</w:t>
      </w:r>
    </w:p>
    <w:p>
      <w:r>
        <w:rPr>
          <w:rFonts w:eastAsia="Malgun Gothic"/>
        </w:rPr>
        <w:t>가스, 열, 유해 생성물을 낼 수 있는 조합을 맨 앞에 씁니다.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1205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ID</w:t>
            </w:r>
          </w:p>
        </w:tc>
        <w:tc>
          <w:tcPr>
            <w:tcW w:type="dxa" w:w="1205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판정값(단위)</w:t>
            </w:r>
          </w:p>
        </w:tc>
        <w:tc>
          <w:tcPr>
            <w:tcW w:type="dxa" w:w="1205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한계값</w:t>
            </w:r>
          </w:p>
        </w:tc>
        <w:tc>
          <w:tcPr>
            <w:tcW w:type="dxa" w:w="1205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시험 조건 대 고객 조건</w:t>
            </w:r>
          </w:p>
        </w:tc>
        <w:tc>
          <w:tcPr>
            <w:tcW w:type="dxa" w:w="1205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출처 종류와 날짜</w:t>
            </w:r>
          </w:p>
        </w:tc>
        <w:tc>
          <w:tcPr>
            <w:tcW w:type="dxa" w:w="1205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대표값 여부(Y/N)</w:t>
            </w:r>
          </w:p>
        </w:tc>
        <w:tc>
          <w:tcPr>
            <w:tcW w:type="dxa" w:w="1205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판정(C, CC, I)</w:t>
            </w:r>
          </w:p>
        </w:tc>
        <w:tc>
          <w:tcPr>
            <w:tcW w:type="dxa" w:w="1205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신뢰도(H, M, L)</w:t>
            </w:r>
          </w:p>
        </w:tc>
      </w:tr>
      <w:tr>
        <w:trPr>
          <w:trHeight w:val="440"/>
        </w:trPr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205"/>
          </w:tcPr>
          <w:p>
            <w:r>
              <w:rPr>
                <w:rFonts w:eastAsia="Malgun Gothic"/>
                <w:sz w:val="17"/>
              </w:rPr>
            </w:r>
          </w:p>
        </w:tc>
      </w:tr>
    </w:tbl>
    <w:p/>
    <w:p>
      <w:r>
        <w:rPr>
          <w:rFonts w:eastAsia="Malgun Gothic"/>
          <w:b/>
        </w:rPr>
        <w:t xml:space="preserve">전체 판정(C, CC, I)과 이를 가르는 조합: </w:t>
      </w:r>
      <w:r>
        <w:rPr>
          <w:rFonts w:eastAsia="Malgun Gothic"/>
        </w:rPr>
        <w:t>__________</w:t>
      </w:r>
    </w:p>
    <w:p>
      <w:r>
        <w:rPr>
          <w:rFonts w:eastAsia="Malgun Gothic"/>
        </w:rPr>
        <w:t>[ ] 근거가 포괄하는 농도, 온도, 접촉 시간을 넘어 상용성 있음으로 판정한 조합이 없습니다.</w:t>
      </w:r>
    </w:p>
    <w:p>
      <w:r>
        <w:rPr>
          <w:rFonts w:eastAsia="Malgun Gothic"/>
        </w:rPr>
        <w:t>[ ] 공개 차트나 핸드북에서 나온 값은 모두 대표값으로 표시했습니다.</w:t>
      </w:r>
    </w:p>
    <w:p>
      <w:pPr>
        <w:pStyle w:val="Heading1"/>
      </w:pPr>
      <w:r>
        <w:rPr>
          <w:rFonts w:eastAsia="Malgun Gothic"/>
          <w:color w:val="1F3A5F"/>
        </w:rPr>
        <w:t>4. 운전 한계와 관찰 징후</w:t>
      </w:r>
    </w:p>
    <w:p>
      <w:r>
        <w:rPr>
          <w:rFonts w:eastAsia="Malgun Gothic"/>
        </w:rPr>
        <w:t>조건부 상용성 조합마다 씁니다.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ID</w:t>
            </w:r>
          </w:p>
        </w:tc>
        <w:tc>
          <w:tcPr>
            <w:tcW w:type="dxa" w:w="1606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한계(값, 근거)</w:t>
            </w:r>
          </w:p>
        </w:tc>
        <w:tc>
          <w:tcPr>
            <w:tcW w:type="dxa" w:w="1606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관찰 징후</w:t>
            </w:r>
          </w:p>
        </w:tc>
        <w:tc>
          <w:tcPr>
            <w:tcW w:type="dxa" w:w="1606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관찰 지점</w:t>
            </w:r>
          </w:p>
        </w:tc>
        <w:tc>
          <w:tcPr>
            <w:tcW w:type="dxa" w:w="1606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빈도</w:t>
            </w:r>
          </w:p>
        </w:tc>
        <w:tc>
          <w:tcPr>
            <w:tcW w:type="dxa" w:w="1606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중지 기준값</w:t>
            </w:r>
          </w:p>
        </w:tc>
      </w:tr>
      <w:tr>
        <w:trPr>
          <w:trHeight w:val="440"/>
        </w:trPr>
        <w:tc>
          <w:tcPr>
            <w:tcW w:type="dxa" w:w="1606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606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606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606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606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606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1606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606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606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606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606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606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1606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606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606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606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606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606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1606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606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606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606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606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606"/>
          </w:tcPr>
          <w:p>
            <w:r>
              <w:rPr>
                <w:rFonts w:eastAsia="Malgun Gothic"/>
                <w:sz w:val="17"/>
              </w:rPr>
            </w:r>
          </w:p>
        </w:tc>
      </w:tr>
    </w:tbl>
    <w:p/>
    <w:p>
      <w:r>
        <w:rPr>
          <w:rFonts w:eastAsia="Malgun Gothic"/>
        </w:rPr>
        <w:t>고객이 피할 수 있는 상용성 없음 조합마다 씁니다.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ID</w:t>
            </w:r>
          </w:p>
        </w:tc>
        <w:tc>
          <w:tcPr>
            <w:tcW w:type="dxa" w:w="4819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분리 조치(전용 라인, 탱크, 플러싱, 분리 보관)</w:t>
            </w:r>
          </w:p>
        </w:tc>
      </w:tr>
      <w:tr>
        <w:trPr>
          <w:trHeight w:val="440"/>
        </w:trPr>
        <w:tc>
          <w:tcPr>
            <w:tcW w:type="dxa" w:w="4819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4819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4819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4819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4819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4819"/>
          </w:tcPr>
          <w:p>
            <w:r>
              <w:rPr>
                <w:rFonts w:eastAsia="Malgun Gothic"/>
                <w:sz w:val="17"/>
              </w:rPr>
            </w:r>
          </w:p>
        </w:tc>
      </w:tr>
    </w:tbl>
    <w:p/>
    <w:p>
      <w:r>
        <w:rPr>
          <w:rFonts w:eastAsia="Malgun Gothic"/>
        </w:rPr>
        <w:t>[ ] 조건부이거나 회피 가능한 상용성 없음 조합이 없으면, 여기에 그렇다고 한 문장으로 적었습니다.</w:t>
      </w:r>
    </w:p>
    <w:p>
      <w:pPr>
        <w:pStyle w:val="Heading1"/>
      </w:pPr>
      <w:r>
        <w:rPr>
          <w:rFonts w:eastAsia="Malgun Gothic"/>
          <w:color w:val="1F3A5F"/>
        </w:rPr>
        <w:t>5. 확인 시험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1377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ID</w:t>
            </w:r>
          </w:p>
        </w:tc>
        <w:tc>
          <w:tcPr>
            <w:tcW w:type="dxa" w:w="1377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시험과 방법</w:t>
            </w:r>
          </w:p>
        </w:tc>
        <w:tc>
          <w:tcPr>
            <w:tcW w:type="dxa" w:w="1377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조건(°C, h, 혼합 비율)</w:t>
            </w:r>
          </w:p>
        </w:tc>
        <w:tc>
          <w:tcPr>
            <w:tcW w:type="dxa" w:w="1377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합격 기준(1번 섹션)</w:t>
            </w:r>
          </w:p>
        </w:tc>
        <w:tc>
          <w:tcPr>
            <w:tcW w:type="dxa" w:w="1377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시료</w:t>
            </w:r>
          </w:p>
        </w:tc>
        <w:tc>
          <w:tcPr>
            <w:tcW w:type="dxa" w:w="1377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담당자</w:t>
            </w:r>
          </w:p>
        </w:tc>
        <w:tc>
          <w:tcPr>
            <w:tcW w:type="dxa" w:w="1377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기한</w:t>
            </w:r>
          </w:p>
        </w:tc>
      </w:tr>
      <w:tr>
        <w:trPr>
          <w:trHeight w:val="440"/>
        </w:trPr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</w:r>
          </w:p>
        </w:tc>
      </w:tr>
    </w:tbl>
    <w:p/>
    <w:p>
      <w:r>
        <w:rPr>
          <w:rFonts w:eastAsia="Malgun Gothic"/>
          <w:b/>
        </w:rPr>
        <w:t xml:space="preserve">전체 판정을 가르는 시험: </w:t>
      </w:r>
      <w:r>
        <w:rPr>
          <w:rFonts w:eastAsia="Malgun Gothic"/>
        </w:rPr>
        <w:t>_________________________________</w:t>
      </w:r>
    </w:p>
    <w:p>
      <w:r>
        <w:rPr>
          <w:rFonts w:eastAsia="Malgun Gothic"/>
        </w:rPr>
        <w:t>[ ] 혼합 시험 전에 두 SDS의 7번과 10번 항목을 읽었습니다.</w:t>
      </w:r>
    </w:p>
    <w:p>
      <w:r>
        <w:rPr>
          <w:rFonts w:eastAsia="Malgun Gothic"/>
        </w:rPr>
        <w:t>[ ] 혼합 시험은 현장의 서면 절차를 따르고 소량부터 시작합니다.</w:t>
      </w:r>
    </w:p>
    <w:p>
      <w:r>
        <w:rPr>
          <w:rFonts w:eastAsia="Malgun Gothic"/>
        </w:rPr>
        <w:t>[ ] 아직 합의하지 않은 담당자와 기한은 합의 예정으로 표시했습니다.</w:t>
      </w:r>
    </w:p>
    <w:p>
      <w:pPr>
        <w:pStyle w:val="Heading1"/>
      </w:pPr>
      <w:r>
        <w:rPr>
          <w:rFonts w:eastAsia="Malgun Gothic"/>
          <w:color w:val="1F3A5F"/>
        </w:rPr>
        <w:t>6. 한계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미결 사항(조성, 등급, 조건, 대표값)</w:t>
            </w:r>
          </w:p>
        </w:tc>
        <w:tc>
          <w:tcPr>
            <w:tcW w:type="dxa" w:w="1928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보류되는 판정</w:t>
            </w:r>
          </w:p>
        </w:tc>
        <w:tc>
          <w:tcPr>
            <w:tcW w:type="dxa" w:w="1928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해결 방법</w:t>
            </w:r>
          </w:p>
        </w:tc>
        <w:tc>
          <w:tcPr>
            <w:tcW w:type="dxa" w:w="1928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해결할 사람</w:t>
            </w:r>
          </w:p>
        </w:tc>
        <w:tc>
          <w:tcPr>
            <w:tcW w:type="dxa" w:w="1928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기한</w:t>
            </w:r>
          </w:p>
        </w:tc>
      </w:tr>
      <w:tr>
        <w:trPr>
          <w:trHeight w:val="440"/>
        </w:trPr>
        <w:tc>
          <w:tcPr>
            <w:tcW w:type="dxa" w:w="1928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1928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1928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7"/>
              </w:rPr>
            </w:r>
          </w:p>
        </w:tc>
      </w:tr>
      <w:tr>
        <w:trPr>
          <w:trHeight w:val="440"/>
        </w:trPr>
        <w:tc>
          <w:tcPr>
            <w:tcW w:type="dxa" w:w="1928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7"/>
              </w:rPr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7"/>
              </w:rPr>
            </w:r>
          </w:p>
        </w:tc>
      </w:tr>
    </w:tbl>
    <w:p/>
    <w:p>
      <w:r>
        <w:rPr>
          <w:rFonts w:eastAsia="Malgun Gothic"/>
        </w:rPr>
        <w:t>재평가가 필요한 변경.</w:t>
      </w:r>
    </w:p>
    <w:p>
      <w:r>
        <w:rPr>
          <w:rFonts w:eastAsia="Malgun Gothic"/>
        </w:rPr>
        <w:t>[ ] 공존 약품 추가</w:t>
      </w:r>
    </w:p>
    <w:p>
      <w:r>
        <w:rPr>
          <w:rFonts w:eastAsia="Malgun Gothic"/>
        </w:rPr>
        <w:t>[ ] 재질 변경(개스킷, 씰, 배관, 코팅)</w:t>
      </w:r>
    </w:p>
    <w:p>
      <w:r>
        <w:rPr>
          <w:rFonts w:eastAsia="Malgun Gothic"/>
        </w:rPr>
        <w:t>[ ] 온도 상승 또는 새 세정 단계</w:t>
      </w:r>
    </w:p>
    <w:p>
      <w:r>
        <w:rPr>
          <w:rFonts w:eastAsia="Malgun Gothic"/>
        </w:rPr>
        <w:t>[ ] 주입량, 농도, 접촉 시간 변경</w:t>
      </w:r>
    </w:p>
    <w:p>
      <w:r>
        <w:rPr>
          <w:rFonts w:eastAsia="Malgun Gothic"/>
        </w:rPr>
        <w:t>[ ] 어느 한쪽의 SDS 개정</w:t>
      </w:r>
    </w:p>
    <w:p>
      <w:r>
        <w:rPr>
          <w:rFonts w:eastAsia="Malgun Gothic"/>
        </w:rPr>
        <w:t>[ ] 조건부 행의 새 시험 결과</w:t>
      </w:r>
    </w:p>
    <w:p>
      <w:r>
        <w:rPr>
          <w:rFonts w:eastAsia="Malgun Gothic"/>
          <w:b/>
        </w:rPr>
        <w:t xml:space="preserve">다음 검토일(YYYY-MM-DD): </w:t>
      </w:r>
      <w:r>
        <w:rPr>
          <w:rFonts w:eastAsia="Malgun Gothic"/>
        </w:rPr>
        <w:t>_________________________________________</w:t>
      </w:r>
    </w:p>
    <w:p>
      <w:r>
        <w:rPr>
          <w:rFonts w:eastAsia="Malgun Gothic"/>
          <w:b/>
        </w:rPr>
        <w:t xml:space="preserve">발행자, 날짜: </w:t>
      </w:r>
      <w:r>
        <w:rPr>
          <w:rFonts w:eastAsia="Malgun Gothic"/>
        </w:rPr>
        <w:t>_______________________________________________________</w:t>
      </w:r>
    </w:p>
    <w:p>
      <w:r>
        <w:rPr>
          <w:rFonts w:eastAsia="Malgun Gothic"/>
        </w:rPr>
        <w:br w:type="page"/>
      </w:r>
    </w:p>
    <w:p>
      <w:pPr>
        <w:pStyle w:val="Heading1"/>
      </w:pPr>
      <w:r>
        <w:rPr>
          <w:rFonts w:eastAsia="Malgun Gothic"/>
          <w:color w:val="1F3A5F"/>
        </w:rPr>
        <w:t>예시</w:t>
      </w:r>
    </w:p>
    <w:p>
      <w:r>
        <w:rPr>
          <w:rFonts w:eastAsia="Malgun Gothic"/>
        </w:rPr>
        <w:t>이 페이지의 제품, 값, 이름, 날짜는 모두 검토표를 채우는 방법을 보여 주려고 꾸민 것입니다. 실제 시스템의 데이터가 아니며 어떤 제품에 대한 판정도 아닙니다.</w:t>
      </w:r>
    </w:p>
    <w:p>
      <w:r>
        <w:rPr>
          <w:rFonts w:eastAsia="Malgun Gothic"/>
        </w:rPr>
        <w:t>질문: 산성 세정제인 제품 A를 살균제 B도 들어가고 EPDM 개스킷과 316L 스테인리스강 배관이 있는 회로에 써도 되는가? (예시)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1377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ID</w:t>
            </w:r>
          </w:p>
        </w:tc>
        <w:tc>
          <w:tcPr>
            <w:tcW w:type="dxa" w:w="1377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구분</w:t>
            </w:r>
          </w:p>
        </w:tc>
        <w:tc>
          <w:tcPr>
            <w:tcW w:type="dxa" w:w="1377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상대 대상</w:t>
            </w:r>
          </w:p>
        </w:tc>
        <w:tc>
          <w:tcPr>
            <w:tcW w:type="dxa" w:w="1377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접촉 지점</w:t>
            </w:r>
          </w:p>
        </w:tc>
        <w:tc>
          <w:tcPr>
            <w:tcW w:type="dxa" w:w="1377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농도(%)</w:t>
            </w:r>
          </w:p>
        </w:tc>
        <w:tc>
          <w:tcPr>
            <w:tcW w:type="dxa" w:w="1377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온도 범위(°C)</w:t>
            </w:r>
          </w:p>
        </w:tc>
        <w:tc>
          <w:tcPr>
            <w:tcW w:type="dxa" w:w="1377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접촉 시간(h)</w:t>
            </w:r>
          </w:p>
        </w:tc>
      </w:tr>
      <w:tr>
        <w:trPr>
          <w:trHeight w:val="440"/>
        </w:trPr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C-01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공존 약품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살균제 B, 원액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공용 방류벽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100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5~35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누출 시</w:t>
            </w:r>
          </w:p>
        </w:tc>
      </w:tr>
      <w:tr>
        <w:trPr>
          <w:trHeight w:val="440"/>
        </w:trPr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C-02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공존 약품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살균제 B, 회로 내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회로수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2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15~45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연속</w:t>
            </w:r>
          </w:p>
        </w:tc>
      </w:tr>
      <w:tr>
        <w:trPr>
          <w:trHeight w:val="440"/>
        </w:trPr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C-03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접액 재질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EPDM 개스킷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주입 라인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2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15~45, 세정 시 70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연속</w:t>
            </w:r>
          </w:p>
        </w:tc>
      </w:tr>
      <w:tr>
        <w:trPr>
          <w:trHeight w:val="440"/>
        </w:trPr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C-03N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접액 재질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EPDM 개스킷, 제품 원액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주입 라인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100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15~45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연속</w:t>
            </w:r>
          </w:p>
        </w:tc>
      </w:tr>
      <w:tr>
        <w:trPr>
          <w:trHeight w:val="440"/>
        </w:trPr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C-04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접액 재질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316L 배관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회로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2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15~45</w:t>
            </w:r>
          </w:p>
        </w:tc>
        <w:tc>
          <w:tcPr>
            <w:tcW w:type="dxa" w:w="1377"/>
          </w:tcPr>
          <w:p>
            <w:r>
              <w:rPr>
                <w:rFonts w:eastAsia="Malgun Gothic"/>
                <w:sz w:val="17"/>
              </w:rPr>
              <w:t>연속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제품</w:t>
            </w:r>
          </w:p>
        </w:tc>
        <w:tc>
          <w:tcPr>
            <w:tcW w:type="dxa" w:w="1928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성분</w:t>
            </w:r>
          </w:p>
        </w:tc>
        <w:tc>
          <w:tcPr>
            <w:tcW w:type="dxa" w:w="1928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CAS 번호</w:t>
            </w:r>
          </w:p>
        </w:tc>
        <w:tc>
          <w:tcPr>
            <w:tcW w:type="dxa" w:w="1928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농도 범위(%)</w:t>
            </w:r>
          </w:p>
        </w:tc>
        <w:tc>
          <w:tcPr>
            <w:tcW w:type="dxa" w:w="1928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SDS 10번 항목의 피해야 할 물질</w:t>
            </w:r>
          </w:p>
        </w:tc>
      </w:tr>
      <w:tr>
        <w:trPr>
          <w:trHeight w:val="440"/>
        </w:trPr>
        <w:tc>
          <w:tcPr>
            <w:tcW w:type="dxa" w:w="1928"/>
          </w:tcPr>
          <w:p>
            <w:r>
              <w:rPr>
                <w:rFonts w:eastAsia="Malgun Gothic"/>
                <w:sz w:val="17"/>
              </w:rPr>
              <w:t>제품 A</w:t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7"/>
              </w:rPr>
              <w:t>인산</w:t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7"/>
              </w:rPr>
              <w:t>7664-38-2</w:t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7"/>
              </w:rPr>
              <w:t>10~20</w:t>
            </w:r>
          </w:p>
        </w:tc>
        <w:tc>
          <w:tcPr>
            <w:tcW w:type="dxa" w:w="1928"/>
          </w:tcPr>
          <w:p>
            <w:r>
              <w:rPr>
                <w:rFonts w:eastAsia="Malgun Gothic"/>
                <w:sz w:val="17"/>
              </w:rPr>
              <w:t>강염기, 산화제(예시)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ID</w:t>
            </w:r>
          </w:p>
        </w:tc>
        <w:tc>
          <w:tcPr>
            <w:tcW w:type="dxa" w:w="2409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한계값 대비 판정값</w:t>
            </w:r>
          </w:p>
        </w:tc>
        <w:tc>
          <w:tcPr>
            <w:tcW w:type="dxa" w:w="2409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판정</w:t>
            </w:r>
          </w:p>
        </w:tc>
        <w:tc>
          <w:tcPr>
            <w:tcW w:type="dxa" w:w="2409"/>
            <w:shd w:val="clear" w:color="auto" w:fill="E8EEF5"/>
          </w:tcPr>
          <w:p>
            <w:r>
              <w:rPr>
                <w:rFonts w:eastAsia="Malgun Gothic"/>
              </w:rPr>
            </w:r>
            <w:r>
              <w:rPr>
                <w:rFonts w:eastAsia="Malgun Gothic"/>
                <w:b/>
                <w:sz w:val="17"/>
              </w:rPr>
              <w:t>다음 단계</w:t>
            </w:r>
          </w:p>
        </w:tc>
      </w:tr>
      <w:tr>
        <w:trPr>
          <w:trHeight w:val="440"/>
        </w:trPr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  <w:t>C-01</w:t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  <w:t>살균제 B의 SDS 10번 항목이 산을 피해야 할 물질로 기재</w:t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  <w:t>I</w:t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  <w:t>방류벽과 주입 라인 분리</w:t>
            </w:r>
          </w:p>
        </w:tc>
      </w:tr>
      <w:tr>
        <w:trPr>
          <w:trHeight w:val="440"/>
        </w:trPr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  <w:t>C-02</w:t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  <w:t>사용 희석 농도의 데이터 없음</w:t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  <w:t>CC</w:t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  <w:t>시스템 비율로 병 혼합 시험</w:t>
            </w:r>
          </w:p>
        </w:tc>
      </w:tr>
      <w:tr>
        <w:trPr>
          <w:trHeight w:val="440"/>
        </w:trPr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  <w:t>C-03</w:t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  <w:t>공급사 차트가 23 °C에서 EPDM을 양호로 평가, 대표값</w:t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  <w:t>CC</w:t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  <w:t>70 °C, 168 h 침지 시험</w:t>
            </w:r>
          </w:p>
        </w:tc>
      </w:tr>
      <w:tr>
        <w:trPr>
          <w:trHeight w:val="440"/>
        </w:trPr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  <w:t>C-03N</w:t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  <w:t>공급사 차트가 23 °C에서 EPDM을 양호로 평가, 대표값. 주입 라인 내 제품 원액</w:t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  <w:t>CC</w:t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  <w:t>70 °C, 168 h 침지 시험</w:t>
            </w:r>
          </w:p>
        </w:tc>
      </w:tr>
      <w:tr>
        <w:trPr>
          <w:trHeight w:val="440"/>
        </w:trPr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  <w:t>C-04</w:t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  <w:t>50 °C에서 부식 속도가 한계값 미만, 공급사 시험</w:t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  <w:t>C</w:t>
            </w:r>
          </w:p>
        </w:tc>
        <w:tc>
          <w:tcPr>
            <w:tcW w:type="dxa" w:w="2409"/>
          </w:tcPr>
          <w:p>
            <w:r>
              <w:rPr>
                <w:rFonts w:eastAsia="Malgun Gothic"/>
                <w:sz w:val="17"/>
              </w:rPr>
              <w:t>50 °C 미만 유지</w:t>
            </w:r>
          </w:p>
        </w:tc>
      </w:tr>
    </w:tbl>
    <w:p/>
    <w:p>
      <w:r>
        <w:rPr>
          <w:rFonts w:eastAsia="Malgun Gothic"/>
        </w:rPr>
        <w:t>전체 판정(예시): C-01을 분리하기 전까지 상용성 없음. 분리 후에는 C-02 병 혼합 시험 결과가 나올 때까지 조건부 상용성. 미결 사항: 개스킷 컴파운드 미확인, 보전 계획 담당자가 해결.</w:t>
      </w:r>
    </w:p>
    <w:sectPr w:rsidR="00FC693F" w:rsidRPr="0006063C" w:rsidSect="00034616">
      <w:footerReference w:type="default" r:id="rId9"/>
      <w:pgSz w:w="11906" w:h="16838"/>
      <w:pgMar w:top="1134" w:right="1134" w:bottom="2551" w:left="1134" w:header="720" w:footer="170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서식 출처: www.lubinpla.com/ko/post/chemical-compatibility-worksheet-template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cstheme="minorBidi" w:eastAsia="Malgun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cstheme="majorBidi" w:eastAsia="Malgun Gothic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cstheme="majorBidi" w:eastAsia="Malgun Gothic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cstheme="majorBidi" w:eastAsia="Malgun Gothic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eastAsia="Malgun Gothic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cstheme="majorBidi" w:eastAsia="Malgun Gothic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cstheme="majorBidi" w:eastAsia="Malgun Gothic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화학물질 상용성 검토표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