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Customer Technical Service Report</w:t>
      </w:r>
    </w:p>
    <w:p>
      <w:r>
        <w:rPr>
          <w:b w:val="0"/>
          <w:i/>
        </w:rPr>
        <w:t>Template with reader versions: one internal report, and customer and manufacturer copies made from it.</w:t>
      </w:r>
    </w:p>
    <w:p>
      <w:pPr>
        <w:pStyle w:val="Heading1"/>
      </w:pPr>
      <w:r>
        <w:t>Instructions</w:t>
      </w:r>
    </w:p>
    <w:p>
      <w:r>
        <w:rPr>
          <w:b w:val="0"/>
          <w:i w:val="0"/>
        </w:rPr>
        <w:t>1. Write the full internal version first. Make each external copy from it; do not write copies separately.</w:t>
      </w:r>
    </w:p>
    <w:p>
      <w:r>
        <w:rPr>
          <w:b w:val="0"/>
          <w:i w:val="0"/>
        </w:rPr>
        <w:t>2. Every field carries a reader mark in square brackets: [I] internal only; [C] internal and customer; [M] all three readers, including the manufacturer's technical team. Change a mark when the content needs it.</w:t>
      </w:r>
    </w:p>
    <w:p>
      <w:r>
        <w:rPr>
          <w:b w:val="0"/>
          <w:i w:val="0"/>
        </w:rPr>
        <w:t>3. A field without a mark is treated as [I].</w:t>
      </w:r>
    </w:p>
    <w:p>
      <w:r>
        <w:rPr>
          <w:b w:val="0"/>
          <w:i w:val="0"/>
        </w:rPr>
        <w:t>4. Work history, internal review notes, confidence grades and scores, internal record sources, and cost, margin and stock figures go in the Internal annex (section 5), which never leaves the company.</w:t>
      </w:r>
    </w:p>
    <w:p>
      <w:r>
        <w:rPr>
          <w:b w:val="0"/>
          <w:i w:val="0"/>
        </w:rPr>
        <w:t>5. Customer copy: remove section 5 and every [I] field. Write findings in plain words. If a conclusion still rests on an estimate, close with one line saying it is to be confirmed with the manufacturer.</w:t>
      </w:r>
    </w:p>
    <w:p>
      <w:r>
        <w:rPr>
          <w:b w:val="0"/>
          <w:i w:val="0"/>
        </w:rPr>
        <w:t>6. Manufacturer copy: remove section 5 and every [I] and [C] field. Replace the customer's name, site and contact with a case code. Check photos, equipment tags and volumes for anything that points to the customer.</w:t>
      </w:r>
    </w:p>
    <w:p>
      <w:r>
        <w:rPr>
          <w:b w:val="0"/>
          <w:i w:val="0"/>
        </w:rPr>
        <w:t>7. Before sending, a second person checks each copy against the reader matrix (section 6) and the checklist (section 7).</w:t>
      </w:r>
    </w:p>
    <w:p>
      <w:r>
        <w:rPr>
          <w:b w:val="0"/>
          <w:i w:val="0"/>
        </w:rPr>
        <w:t>8. Check any contract, confidentiality agreement or dispute that restricts the report before splitting it.</w:t>
      </w:r>
    </w:p>
    <w:p>
      <w:r>
        <w:rPr>
          <w:b w:val="0"/>
          <w:i w:val="0"/>
        </w:rPr>
        <w:t>The illustrative example at the end is kept apart from the blank form. Its values come from no real customer.</w:t>
      </w:r>
    </w:p>
    <w:p>
      <w:pPr>
        <w:pStyle w:val="Heading1"/>
      </w:pPr>
      <w:r>
        <w:t>0. Report header</w:t>
      </w:r>
    </w:p>
    <w:p>
      <w:r>
        <w:rPr>
          <w:b w:val="0"/>
          <w:i w:val="0"/>
        </w:rPr>
        <w:t>[M] Report ID and revision: __________________________________________________________</w:t>
      </w:r>
    </w:p>
    <w:p>
      <w:r>
        <w:rPr>
          <w:b w:val="0"/>
          <w:i w:val="0"/>
        </w:rPr>
        <w:t>[M] Report date (YYYY-MM-DD): ________________________________________________________</w:t>
      </w:r>
    </w:p>
    <w:p>
      <w:r>
        <w:rPr>
          <w:b w:val="0"/>
          <w:i w:val="0"/>
        </w:rPr>
        <w:t>[M] Reader version of this copy:  [ ] Internal   [ ] Customer   [ ] Manufacturer</w:t>
      </w:r>
    </w:p>
    <w:p>
      <w:r>
        <w:rPr>
          <w:b w:val="0"/>
          <w:i w:val="0"/>
        </w:rPr>
        <w:t>[I] Planned distribution (internal names and roles): _________________________________</w:t>
      </w:r>
    </w:p>
    <w:p>
      <w:r>
        <w:rPr>
          <w:b w:val="0"/>
          <w:i w:val="0"/>
        </w:rPr>
        <w:t>[C] Customer company and site: _______________________________________________________</w:t>
      </w:r>
    </w:p>
    <w:p>
      <w:r>
        <w:rPr>
          <w:b w:val="0"/>
          <w:i w:val="0"/>
        </w:rPr>
        <w:t>[C] Customer contact person (name, role): ____________________________________________</w:t>
      </w:r>
    </w:p>
    <w:p>
      <w:r>
        <w:rPr>
          <w:b w:val="0"/>
          <w:i w:val="0"/>
        </w:rPr>
        <w:t>[C] Account or project name: _________________________________________________________</w:t>
      </w:r>
    </w:p>
    <w:p>
      <w:r>
        <w:rPr>
          <w:b w:val="0"/>
          <w:i w:val="0"/>
        </w:rPr>
        <w:t>[M] Case code used in the manufacturer copy: _________________________________________</w:t>
      </w:r>
    </w:p>
    <w:p>
      <w:r>
        <w:rPr>
          <w:b w:val="0"/>
          <w:i w:val="0"/>
        </w:rPr>
        <w:t>[C] Report written by (name, role): __________________________________________________</w:t>
      </w:r>
    </w:p>
    <w:p>
      <w:pPr>
        <w:pStyle w:val="Heading1"/>
      </w:pPr>
      <w:r>
        <w:t>1. Inspection scope and criteria</w:t>
      </w:r>
    </w:p>
    <w:p>
      <w:r>
        <w:rPr>
          <w:b w:val="0"/>
          <w:i w:val="0"/>
        </w:rPr>
        <w:t>[M] Equipment, systems and products covered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[M] Criteria: one row per condition checked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872"/>
        <w:gridCol w:w="1872"/>
        <w:gridCol w:w="1872"/>
        <w:gridCol w:w="1872"/>
      </w:tblGrid>
      <w:tr>
        <w:tc>
          <w:tcPr>
            <w:tcW w:type="dxa" w:w="1728"/>
          </w:tcPr>
          <w:p>
            <w:r/>
            <w:r>
              <w:rPr>
                <w:b/>
                <w:sz w:val="18"/>
              </w:rPr>
              <w:t>Condition</w:t>
            </w:r>
          </w:p>
        </w:tc>
        <w:tc>
          <w:tcPr>
            <w:tcW w:type="dxa" w:w="1872"/>
          </w:tcPr>
          <w:p>
            <w:r/>
            <w:r>
              <w:rPr>
                <w:b/>
                <w:sz w:val="18"/>
              </w:rPr>
              <w:t>Criterion (value and unit)</w:t>
            </w:r>
          </w:p>
        </w:tc>
        <w:tc>
          <w:tcPr>
            <w:tcW w:type="dxa" w:w="1872"/>
          </w:tcPr>
          <w:p>
            <w:r/>
            <w:r>
              <w:rPr>
                <w:b/>
                <w:sz w:val="18"/>
              </w:rPr>
              <w:t>Source document and revision</w:t>
            </w:r>
          </w:p>
        </w:tc>
        <w:tc>
          <w:tcPr>
            <w:tcW w:type="dxa" w:w="1872"/>
          </w:tcPr>
          <w:p>
            <w:r/>
            <w:r>
              <w:rPr>
                <w:b/>
                <w:sz w:val="18"/>
              </w:rPr>
              <w:t>Operating state</w:t>
            </w:r>
          </w:p>
        </w:tc>
        <w:tc>
          <w:tcPr>
            <w:tcW w:type="dxa" w:w="1872"/>
          </w:tcPr>
          <w:p>
            <w:r/>
            <w:r>
              <w:rPr>
                <w:b/>
                <w:sz w:val="18"/>
              </w:rPr>
              <w:t>Previous readings (value, unit, date)</w:t>
            </w:r>
          </w:p>
        </w:tc>
      </w:tr>
      <w:tr>
        <w:tc>
          <w:tcPr>
            <w:tcW w:type="dxa" w:w="1728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</w:tbl>
    <w:p/>
    <w:p>
      <w:r>
        <w:rPr>
          <w:b w:val="0"/>
          <w:i w:val="0"/>
        </w:rPr>
        <w:t>[M] Product and process</w:t>
      </w:r>
    </w:p>
    <w:p>
      <w:r>
        <w:rPr>
          <w:b w:val="0"/>
          <w:i w:val="0"/>
        </w:rPr>
        <w:t>[M] Product and grade: _______________________________________________________________</w:t>
      </w:r>
    </w:p>
    <w:p>
      <w:r>
        <w:rPr>
          <w:b w:val="0"/>
          <w:i w:val="0"/>
        </w:rPr>
        <w:t>[M] Lot or batch, pack, age: _________________________________________________________</w:t>
      </w:r>
    </w:p>
    <w:p>
      <w:r>
        <w:rPr>
          <w:b w:val="0"/>
          <w:i w:val="0"/>
        </w:rPr>
        <w:t>[M] Operating conditions with units (for example temperature in °C, concentration in %): __________</w:t>
      </w:r>
    </w:p>
    <w:p>
      <w:r>
        <w:rPr>
          <w:b w:val="0"/>
          <w:i w:val="0"/>
        </w:rPr>
        <w:t>[M] Records period the findings rest on, if no visit (YYYY-MM-DD to YYYY-MM-DD): __________</w:t>
      </w:r>
    </w:p>
    <w:p>
      <w:pPr>
        <w:pStyle w:val="Heading1"/>
      </w:pPr>
      <w:r>
        <w:t>2. Findings and risk rating</w:t>
      </w:r>
    </w:p>
    <w:p>
      <w:r>
        <w:rPr>
          <w:b w:val="0"/>
          <w:i w:val="0"/>
        </w:rPr>
        <w:t>[M] Safety findings that need urgent response (list first)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[ ] No safety finding</w:t>
      </w:r>
    </w:p>
    <w:p>
      <w:r>
        <w:rPr>
          <w:b w:val="0"/>
          <w:i w:val="0"/>
        </w:rPr>
        <w:t>[M] Deviations from criteria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29"/>
        <w:gridCol w:w="2329"/>
        <w:gridCol w:w="2329"/>
        <w:gridCol w:w="2329"/>
      </w:tblGrid>
      <w:tr>
        <w:tc>
          <w:tcPr>
            <w:tcW w:type="dxa" w:w="2016"/>
          </w:tcPr>
          <w:p>
            <w:r/>
            <w:r>
              <w:rPr>
                <w:b/>
                <w:sz w:val="18"/>
              </w:rPr>
              <w:t>Location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8"/>
              </w:rPr>
              <w:t>Reading (value, unit)</w:t>
            </w:r>
          </w:p>
        </w:tc>
        <w:tc>
          <w:tcPr>
            <w:tcW w:type="dxa" w:w="2592"/>
          </w:tcPr>
          <w:p>
            <w:r/>
            <w:r>
              <w:rPr>
                <w:b/>
                <w:sz w:val="18"/>
              </w:rPr>
              <w:t>Criterion and gap</w:t>
            </w:r>
          </w:p>
        </w:tc>
        <w:tc>
          <w:tcPr>
            <w:tcW w:type="dxa" w:w="2448"/>
          </w:tcPr>
          <w:p>
            <w:r/>
            <w:r>
              <w:rPr>
                <w:b/>
                <w:sz w:val="18"/>
              </w:rPr>
              <w:t>Rating: act now / watch / no action</w:t>
            </w:r>
          </w:p>
        </w:tc>
      </w:tr>
      <w:tr>
        <w:tc>
          <w:tcPr>
            <w:tcW w:type="dxa" w:w="2016"/>
          </w:tcPr>
          <w:p/>
        </w:tc>
        <w:tc>
          <w:tcPr>
            <w:tcW w:type="dxa" w:w="2160"/>
          </w:tcPr>
          <w:p/>
        </w:tc>
        <w:tc>
          <w:tcPr>
            <w:tcW w:type="dxa" w:w="2592"/>
          </w:tcPr>
          <w:p/>
        </w:tc>
        <w:tc>
          <w:tcPr>
            <w:tcW w:type="dxa" w:w="2448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160"/>
          </w:tcPr>
          <w:p/>
        </w:tc>
        <w:tc>
          <w:tcPr>
            <w:tcW w:type="dxa" w:w="2592"/>
          </w:tcPr>
          <w:p/>
        </w:tc>
        <w:tc>
          <w:tcPr>
            <w:tcW w:type="dxa" w:w="2448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160"/>
          </w:tcPr>
          <w:p/>
        </w:tc>
        <w:tc>
          <w:tcPr>
            <w:tcW w:type="dxa" w:w="2592"/>
          </w:tcPr>
          <w:p/>
        </w:tc>
        <w:tc>
          <w:tcPr>
            <w:tcW w:type="dxa" w:w="2448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160"/>
          </w:tcPr>
          <w:p/>
        </w:tc>
        <w:tc>
          <w:tcPr>
            <w:tcW w:type="dxa" w:w="2592"/>
          </w:tcPr>
          <w:p/>
        </w:tc>
        <w:tc>
          <w:tcPr>
            <w:tcW w:type="dxa" w:w="2448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160"/>
          </w:tcPr>
          <w:p/>
        </w:tc>
        <w:tc>
          <w:tcPr>
            <w:tcW w:type="dxa" w:w="2592"/>
          </w:tcPr>
          <w:p/>
        </w:tc>
        <w:tc>
          <w:tcPr>
            <w:tcW w:type="dxa" w:w="2448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160"/>
          </w:tcPr>
          <w:p/>
        </w:tc>
        <w:tc>
          <w:tcPr>
            <w:tcW w:type="dxa" w:w="2592"/>
          </w:tcPr>
          <w:p/>
        </w:tc>
        <w:tc>
          <w:tcPr>
            <w:tcW w:type="dxa" w:w="2448"/>
          </w:tcPr>
          <w:p/>
        </w:tc>
      </w:tr>
    </w:tbl>
    <w:p/>
    <w:p>
      <w:r>
        <w:rPr>
          <w:b w:val="0"/>
          <w:i w:val="0"/>
        </w:rPr>
        <w:t>[M] Readings within criteria (one sentence)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Cause</w:t>
      </w:r>
    </w:p>
    <w:p>
      <w:r>
        <w:rPr>
          <w:b w:val="0"/>
          <w:i w:val="0"/>
        </w:rPr>
        <w:t>[M] Confirmed cause and the evidence for it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[I] Cause hypothesis, marked unconfirmed, with what would confirm it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[C] Closing line for the customer copy, if a conclusion rests on an estimate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[M] Question for the manufacturer's technical team, if any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pPr>
        <w:pStyle w:val="Heading1"/>
      </w:pPr>
      <w:r>
        <w:t>3. Corrective actions and completion plan</w:t>
      </w:r>
    </w:p>
    <w:p>
      <w:r>
        <w:rPr>
          <w:b w:val="0"/>
          <w:i w:val="0"/>
        </w:rPr>
        <w:t>[M] Actions by side (no names in the manufacturer copy)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29"/>
        <w:gridCol w:w="2329"/>
        <w:gridCol w:w="2329"/>
        <w:gridCol w:w="2329"/>
      </w:tblGrid>
      <w:tr>
        <w:tc>
          <w:tcPr>
            <w:tcW w:type="dxa" w:w="2880"/>
          </w:tcPr>
          <w:p>
            <w:r/>
            <w:r>
              <w:rPr>
                <w:b/>
                <w:sz w:val="18"/>
              </w:rPr>
              <w:t>Priority and action</w:t>
            </w:r>
          </w:p>
        </w:tc>
        <w:tc>
          <w:tcPr>
            <w:tcW w:type="dxa" w:w="2448"/>
          </w:tcPr>
          <w:p>
            <w:r/>
            <w:r>
              <w:rPr>
                <w:b/>
                <w:sz w:val="18"/>
              </w:rPr>
              <w:t>Side responsible (plant / supplier / manufacturer)</w:t>
            </w:r>
          </w:p>
        </w:tc>
        <w:tc>
          <w:tcPr>
            <w:tcW w:type="dxa" w:w="1728"/>
          </w:tcPr>
          <w:p>
            <w:r/>
            <w:r>
              <w:rPr>
                <w:b/>
                <w:sz w:val="18"/>
              </w:rPr>
              <w:t>Deadline (YYYY-MM-DD)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8"/>
              </w:rPr>
              <w:t>Completion check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448"/>
          </w:tcPr>
          <w:p/>
        </w:tc>
        <w:tc>
          <w:tcPr>
            <w:tcW w:type="dxa" w:w="1728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448"/>
          </w:tcPr>
          <w:p/>
        </w:tc>
        <w:tc>
          <w:tcPr>
            <w:tcW w:type="dxa" w:w="1728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448"/>
          </w:tcPr>
          <w:p/>
        </w:tc>
        <w:tc>
          <w:tcPr>
            <w:tcW w:type="dxa" w:w="1728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448"/>
          </w:tcPr>
          <w:p/>
        </w:tc>
        <w:tc>
          <w:tcPr>
            <w:tcW w:type="dxa" w:w="1728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448"/>
          </w:tcPr>
          <w:p/>
        </w:tc>
        <w:tc>
          <w:tcPr>
            <w:tcW w:type="dxa" w:w="1728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448"/>
          </w:tcPr>
          <w:p/>
        </w:tc>
        <w:tc>
          <w:tcPr>
            <w:tcW w:type="dxa" w:w="1728"/>
          </w:tcPr>
          <w:p/>
        </w:tc>
        <w:tc>
          <w:tcPr>
            <w:tcW w:type="dxa" w:w="2160"/>
          </w:tcPr>
          <w:p/>
        </w:tc>
      </w:tr>
    </w:tbl>
    <w:p/>
    <w:p>
      <w:r>
        <w:rPr>
          <w:b w:val="0"/>
          <w:i w:val="0"/>
        </w:rPr>
        <w:t>[C] Named owners (names appear in internal and customer copies only)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[M] Actions from the previous report: closed or open, with evidence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pPr>
        <w:pStyle w:val="Heading1"/>
      </w:pPr>
      <w:r>
        <w:t>4. Other matters (optional)</w:t>
      </w:r>
    </w:p>
    <w:p>
      <w:r>
        <w:rPr>
          <w:b w:val="0"/>
          <w:i w:val="0"/>
        </w:rPr>
        <w:t>[C] Only what the reader needs that fits no section above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pPr>
        <w:pStyle w:val="Heading1"/>
      </w:pPr>
      <w:r>
        <w:t>5. Internal annex (internal copy only)</w:t>
      </w:r>
    </w:p>
    <w:p>
      <w:r>
        <w:rPr>
          <w:b w:val="0"/>
          <w:i w:val="0"/>
        </w:rPr>
        <w:t>[I] Work history: who confirmed or approved what, and when; meetings; division of work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[I] Internal review notes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[I] Confidence grades, rankings and scores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[I] Internal record sources (visit logs, CRM entries, work log references)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[I] Cost, margin and stock figures (move to an external copy only what its purpose needs)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[I] Open items: what would settle each one, and who settles it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pPr>
        <w:pStyle w:val="Heading1"/>
      </w:pPr>
      <w:r>
        <w:t>6. Reader matrix</w:t>
      </w:r>
    </w:p>
    <w:p>
      <w:r>
        <w:rPr>
          <w:b w:val="0"/>
          <w:i w:val="0"/>
        </w:rPr>
        <w:t>Keep, limit or remove each field in each version.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29"/>
        <w:gridCol w:w="2329"/>
        <w:gridCol w:w="2329"/>
        <w:gridCol w:w="2329"/>
      </w:tblGrid>
      <w:tr>
        <w:tc>
          <w:tcPr>
            <w:tcW w:type="dxa" w:w="3168"/>
          </w:tcPr>
          <w:p>
            <w:r/>
            <w:r>
              <w:rPr>
                <w:b/>
                <w:sz w:val="18"/>
              </w:rPr>
              <w:t>Field</w:t>
            </w:r>
          </w:p>
        </w:tc>
        <w:tc>
          <w:tcPr>
            <w:tcW w:type="dxa" w:w="1728"/>
          </w:tcPr>
          <w:p>
            <w:r/>
            <w:r>
              <w:rPr>
                <w:b/>
                <w:sz w:val="18"/>
              </w:rPr>
              <w:t>Internal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8"/>
              </w:rPr>
              <w:t>Customer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8"/>
              </w:rPr>
              <w:t>Manufacturer</w:t>
            </w:r>
          </w:p>
        </w:tc>
      </w:tr>
      <w:tr>
        <w:tc>
          <w:tcPr>
            <w:tcW w:type="dxa" w:w="3168"/>
          </w:tcPr>
          <w:p>
            <w:r>
              <w:rPr>
                <w:sz w:val="18"/>
              </w:rPr>
              <w:t>Report ID, revision, date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Keep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Keep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Keep</w:t>
            </w:r>
          </w:p>
        </w:tc>
      </w:tr>
      <w:tr>
        <w:tc>
          <w:tcPr>
            <w:tcW w:type="dxa" w:w="3168"/>
          </w:tcPr>
          <w:p>
            <w:r>
              <w:rPr>
                <w:sz w:val="18"/>
              </w:rPr>
              <w:t>Customer company, site, contact person, project name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Keep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Keep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Remove; use the case code</w:t>
            </w:r>
          </w:p>
        </w:tc>
      </w:tr>
      <w:tr>
        <w:tc>
          <w:tcPr>
            <w:tcW w:type="dxa" w:w="3168"/>
          </w:tcPr>
          <w:p>
            <w:r>
              <w:rPr>
                <w:sz w:val="18"/>
              </w:rPr>
              <w:t>Scope, criteria and their source documents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Keep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Keep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Keep</w:t>
            </w:r>
          </w:p>
        </w:tc>
      </w:tr>
      <w:tr>
        <w:tc>
          <w:tcPr>
            <w:tcW w:type="dxa" w:w="3168"/>
          </w:tcPr>
          <w:p>
            <w:r>
              <w:rPr>
                <w:sz w:val="18"/>
              </w:rPr>
              <w:t>Product, grade, lot, process conditions with units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Keep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Keep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Keep</w:t>
            </w:r>
          </w:p>
        </w:tc>
      </w:tr>
      <w:tr>
        <w:tc>
          <w:tcPr>
            <w:tcW w:type="dxa" w:w="3168"/>
          </w:tcPr>
          <w:p>
            <w:r>
              <w:rPr>
                <w:sz w:val="18"/>
              </w:rPr>
              <w:t>Readings, findings and risk rating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Keep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Keep, in plain words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Keep</w:t>
            </w:r>
          </w:p>
        </w:tc>
      </w:tr>
      <w:tr>
        <w:tc>
          <w:tcPr>
            <w:tcW w:type="dxa" w:w="3168"/>
          </w:tcPr>
          <w:p>
            <w:r>
              <w:rPr>
                <w:sz w:val="18"/>
              </w:rPr>
              <w:t>Unconfirmed cause hypothesis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Keep, marked unconfirmed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One closing line to confirm with the manufacturer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Keep, as a question</w:t>
            </w:r>
          </w:p>
        </w:tc>
      </w:tr>
      <w:tr>
        <w:tc>
          <w:tcPr>
            <w:tcW w:type="dxa" w:w="3168"/>
          </w:tcPr>
          <w:p>
            <w:r>
              <w:rPr>
                <w:sz w:val="18"/>
              </w:rPr>
              <w:t>Corrective actions and deadlines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Keep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Keep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Actions by side, no names</w:t>
            </w:r>
          </w:p>
        </w:tc>
      </w:tr>
      <w:tr>
        <w:tc>
          <w:tcPr>
            <w:tcW w:type="dxa" w:w="3168"/>
          </w:tcPr>
          <w:p>
            <w:r>
              <w:rPr>
                <w:sz w:val="18"/>
              </w:rPr>
              <w:t>Work history, meetings, division of work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Keep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Remove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Remove; by side only if the report asks for a judgment</w:t>
            </w:r>
          </w:p>
        </w:tc>
      </w:tr>
      <w:tr>
        <w:tc>
          <w:tcPr>
            <w:tcW w:type="dxa" w:w="3168"/>
          </w:tcPr>
          <w:p>
            <w:r>
              <w:rPr>
                <w:sz w:val="18"/>
              </w:rPr>
              <w:t>Internal review notes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Keep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Remove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Remove</w:t>
            </w:r>
          </w:p>
        </w:tc>
      </w:tr>
      <w:tr>
        <w:tc>
          <w:tcPr>
            <w:tcW w:type="dxa" w:w="3168"/>
          </w:tcPr>
          <w:p>
            <w:r>
              <w:rPr>
                <w:sz w:val="18"/>
              </w:rPr>
              <w:t>Confidence grades, rankings, scores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Keep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Remove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Remove</w:t>
            </w:r>
          </w:p>
        </w:tc>
      </w:tr>
      <w:tr>
        <w:tc>
          <w:tcPr>
            <w:tcW w:type="dxa" w:w="3168"/>
          </w:tcPr>
          <w:p>
            <w:r>
              <w:rPr>
                <w:sz w:val="18"/>
              </w:rPr>
              <w:t>Internal record sources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Keep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Remove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Remove</w:t>
            </w:r>
          </w:p>
        </w:tc>
      </w:tr>
      <w:tr>
        <w:tc>
          <w:tcPr>
            <w:tcW w:type="dxa" w:w="3168"/>
          </w:tcPr>
          <w:p>
            <w:r>
              <w:rPr>
                <w:sz w:val="18"/>
              </w:rPr>
              <w:t>Public references (standards, data sheets)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Keep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Keep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Keep</w:t>
            </w:r>
          </w:p>
        </w:tc>
      </w:tr>
      <w:tr>
        <w:tc>
          <w:tcPr>
            <w:tcW w:type="dxa" w:w="3168"/>
          </w:tcPr>
          <w:p>
            <w:r>
              <w:rPr>
                <w:sz w:val="18"/>
              </w:rPr>
              <w:t>Cost, margin, stock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Keep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Only what the purpose needs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Only what the purpose needs</w:t>
            </w:r>
          </w:p>
        </w:tc>
      </w:tr>
      <w:tr>
        <w:tc>
          <w:tcPr>
            <w:tcW w:type="dxa" w:w="3168"/>
          </w:tcPr>
          <w:p>
            <w:r>
              <w:rPr>
                <w:sz w:val="18"/>
              </w:rPr>
              <w:t>Photos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Keep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Keep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Crop signs, logos and faces</w:t>
            </w:r>
          </w:p>
        </w:tc>
      </w:tr>
    </w:tbl>
    <w:p/>
    <w:p>
      <w:pPr>
        <w:pStyle w:val="Heading1"/>
      </w:pPr>
      <w:r>
        <w:t>7. Checklist before any copy leaves the company</w:t>
      </w:r>
    </w:p>
    <w:p>
      <w:r>
        <w:rPr>
          <w:b w:val="0"/>
          <w:i w:val="0"/>
        </w:rPr>
        <w:t>[ ] Report ID and revision are the same on every copy, and each copy states its reader version.</w:t>
      </w:r>
    </w:p>
    <w:p>
      <w:r>
        <w:rPr>
          <w:b w:val="0"/>
          <w:i w:val="0"/>
        </w:rPr>
        <w:t>[ ] Every field carries a reader mark; unmarked fields were treated as [I].</w:t>
      </w:r>
    </w:p>
    <w:p>
      <w:r>
        <w:rPr>
          <w:b w:val="0"/>
          <w:i w:val="0"/>
        </w:rPr>
        <w:t>[ ] Each criterion names its source document and revision; each reading has its unit.</w:t>
      </w:r>
    </w:p>
    <w:p>
      <w:r>
        <w:rPr>
          <w:b w:val="0"/>
          <w:i w:val="0"/>
        </w:rPr>
        <w:t>[ ] Unconfirmed causes are marked in the internal copy and limited to one closing line in the customer copy.</w:t>
      </w:r>
    </w:p>
    <w:p>
      <w:r>
        <w:rPr>
          <w:b w:val="0"/>
          <w:i w:val="0"/>
        </w:rPr>
        <w:t>[ ] The customer copy contains no work history, review notes, scores or internal record sources.</w:t>
      </w:r>
    </w:p>
    <w:p>
      <w:r>
        <w:rPr>
          <w:b w:val="0"/>
          <w:i w:val="0"/>
        </w:rPr>
        <w:t>[ ] The manufacturer copy contains no company, project, contact person or site location; photos, tags and volumes were checked.</w:t>
      </w:r>
    </w:p>
    <w:p>
      <w:r>
        <w:rPr>
          <w:b w:val="0"/>
          <w:i w:val="0"/>
        </w:rPr>
        <w:t>[ ] Cost, margin and stock figures appear in external copies only where the purpose needs them.</w:t>
      </w:r>
    </w:p>
    <w:p>
      <w:r>
        <w:rPr>
          <w:b w:val="0"/>
          <w:i w:val="0"/>
        </w:rPr>
        <w:t>[ ] Contracts, confidentiality agreements and disputes that restrict the report were checked.</w:t>
      </w:r>
    </w:p>
    <w:p>
      <w:r>
        <w:rPr>
          <w:b w:val="0"/>
          <w:i w:val="0"/>
        </w:rPr>
        <w:t>[ ] A second person compared each external copy with the reader matrix.</w:t>
      </w:r>
    </w:p>
    <w:p>
      <w:r>
        <w:br w:type="page"/>
      </w:r>
    </w:p>
    <w:p>
      <w:pPr>
        <w:pStyle w:val="Heading1"/>
      </w:pPr>
      <w:r>
        <w:t>Illustrative example (not part of the form)</w:t>
      </w:r>
    </w:p>
    <w:p>
      <w:r>
        <w:rPr>
          <w:b/>
          <w:i w:val="0"/>
          <w:color w:val="9C0006"/>
        </w:rPr>
        <w:t>ILLUSTRATIVE ONLY. Every company, value and date below is invented for illustration and comes from no real customer, product or case.</w:t>
      </w:r>
    </w:p>
    <w:p>
      <w:r>
        <w:rPr>
          <w:b w:val="0"/>
          <w:i w:val="0"/>
        </w:rPr>
        <w:t>The same finding from a coolant inspection, written for each reader.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58"/>
        <w:gridCol w:w="4658"/>
      </w:tblGrid>
      <w:tr>
        <w:tc>
          <w:tcPr>
            <w:tcW w:type="dxa" w:w="1728"/>
          </w:tcPr>
          <w:p>
            <w:r/>
            <w:r>
              <w:rPr>
                <w:b/>
                <w:sz w:val="18"/>
              </w:rPr>
              <w:t>Reader</w:t>
            </w:r>
          </w:p>
        </w:tc>
        <w:tc>
          <w:tcPr>
            <w:tcW w:type="dxa" w:w="7488"/>
          </w:tcPr>
          <w:p>
            <w:r/>
            <w:r>
              <w:rPr>
                <w:b/>
                <w:sz w:val="18"/>
              </w:rPr>
              <w:t>Finding as written (illustrative)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Internal</w:t>
            </w:r>
          </w:p>
        </w:tc>
        <w:tc>
          <w:tcPr>
            <w:tcW w:type="dxa" w:w="7488"/>
          </w:tcPr>
          <w:p>
            <w:r>
              <w:rPr>
                <w:sz w:val="18"/>
              </w:rPr>
              <w:t>Plant B, sump 23: concentration 5.1% against 6 to 8% (fluid plan rev. 3). Top-up ratio suspected; confidence medium. Maintenance lead confirmed the dosing pump change on 2026-10-28 in our call. CRM note 4471 shows the same gap in 2026-06.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Customer</w:t>
            </w:r>
          </w:p>
        </w:tc>
        <w:tc>
          <w:tcPr>
            <w:tcW w:type="dxa" w:w="7488"/>
          </w:tcPr>
          <w:p>
            <w:r>
              <w:rPr>
                <w:sz w:val="18"/>
              </w:rPr>
              <w:t>Sump 23 concentration was 5.1%, below the 6 to 8% range in your fluid plan. Please check the top-up ratio of the new dosing pump by 2026-11-11. The cause is to be confirmed with the manufacturer.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Manufacturer</w:t>
            </w:r>
          </w:p>
        </w:tc>
        <w:tc>
          <w:tcPr>
            <w:tcW w:type="dxa" w:w="7488"/>
          </w:tcPr>
          <w:p>
            <w:r>
              <w:rPr>
                <w:sz w:val="18"/>
              </w:rPr>
              <w:t>Case C-26-031: central coolant system, water-miscible coolant lot 26-118, sump 40 °C. Concentration 5.1% against a 6 to 8% plan range after a dosing pump change. Is a top-up ratio shift enough to explain the drop, or should emulsion stability be checked?</w:t>
            </w:r>
          </w:p>
        </w:tc>
      </w:tr>
    </w:tbl>
    <w:p/>
    <w:p>
      <w:r>
        <w:rPr>
          <w:b w:val="0"/>
          <w:i w:val="0"/>
        </w:rPr>
        <w:t>Illustrative action row: [M] 1, check top-up ratio of the new dosing pump; plant; 2026-11-11; refractometer reading within 6 to 8% on two consecutive days. [C] Owner: maintenance lead.</w:t>
      </w:r>
    </w:p>
    <w:sectPr w:rsidR="00FC693F" w:rsidRPr="0006063C" w:rsidSect="00034616">
      <w:footerReference w:type="default" r:id="rId9"/>
      <w:pgSz w:w="11909" w:h="16834"/>
      <w:pgMar w:top="1152" w:right="1296" w:bottom="187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Template from www.lubinpla.com/post/customer-technical-service-report-template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