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1F1F"/>
        </w:rPr>
        <w:t>고객 시험 결과 보고서</w:t>
      </w:r>
    </w:p>
    <w:p>
      <w:pPr>
        <w:spacing w:after="80"/>
      </w:pPr>
      <w:r>
        <w:rPr>
          <w:b w:val="0"/>
          <w:i/>
          <w:sz w:val="20"/>
        </w:rPr>
        <w:t>고객사 승인자에게 보내는 산업용 제품 시험 보고서입니다. 미리 정한 기준, 실제 시험 조건, 기준별 결과, 판정과 승인 범위를 담습니다.</w:t>
      </w:r>
    </w:p>
    <w:p>
      <w:pPr>
        <w:pStyle w:val="Heading1"/>
      </w:pPr>
      <w:r>
        <w:rPr>
          <w:color w:val="1F1F1F"/>
        </w:rPr>
        <w:t>작성 방법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</w:tcPr>
          <w:p>
            <w:pPr>
              <w:spacing w:after="40"/>
            </w:pPr>
            <w:r/>
            <w:r>
              <w:rPr>
                <w:b w:val="0"/>
                <w:i w:val="0"/>
                <w:sz w:val="18"/>
              </w:rPr>
              <w:t>1. 보고서는 고객사 승인자를 위해 씁니다. 공급사 내부의 추론은 넣지 않습니다.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2. 모든 기준, 임계값, 방법, 비교 기준, 확정일을 시험 계획서에서 바꾸지 않고 옮겨 적습니다. 결과를 본 뒤에 바꾼 기준은 새 기준이며, 새 시험이 필요합니다.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3. 섹션 3보다 섹션 2를 먼저 채웁니다. 읽을 수 없는 시험은 판정하지 않고 다시 할 시험으로 보고합니다.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4. 계획한 시료를 모두 설명합니다. 시험함, 사유를 적고 제외함, 이탈 번호와 함께 분실함 중 하나로 적습니다.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5. 여유(%) = 결과가 높을수록 합격이면 (결과 - 임계값) / 임계값 x 100, 낮을수록 합격이면 (임계값 - 결과) / 임계값 x 100. 여유가 양수이면 합격으로 읽습니다. 이 계산은 이 템플릿의 약속이며, 시험 계획서의 규칙이 다르면 그 규칙을 씁니다. 임계값이 0이거나 범위이면 여유 칸을 비우고 결과를 임계값과 직접 비교해 판정합니다.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6. 유효한 결과가 없는 기준도 행을 그대로 두고, 판정 안 함으로 표시한 뒤 사유를 적습니다.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7. 판정은 시험한 제품 식별 정보와 운전 조건 범위에만 적용됩니다. 시험하지 않은 조건은 승인 범위 밖이라고 적습니다.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8. 승인 조건마다 담당자와 기한을 정합니다. 조건부 합격은 모든 조건을 마감해야 확정됩니다.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9. 실험실 보고서는 첨부하거나 인용하고, 내용을 다시 적지 않습니다.</w:t>
            </w:r>
          </w:p>
        </w:tc>
      </w:tr>
    </w:tbl>
    <w:p/>
    <w:p>
      <w:pPr>
        <w:pStyle w:val="Heading1"/>
      </w:pPr>
      <w:r>
        <w:rPr>
          <w:color w:val="1F1F1F"/>
        </w:rPr>
        <w:t>보고서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보고서 번호와 개정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보고서 날짜(YYYY-MM-DD)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고객사, 현장, 라인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계획서 번호와 개정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작성자(공급사): 이름, 직책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승인자(고객사): 이름, 직책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인용한 실험실 보고서(번호)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1. 평가 제품과 승인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평가한 제품, 등급, 로트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대조 또는 기준 시료: 제품과 로트, 또는 미처리 라인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기준. 시험 계획서에서 옮겨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기준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임계값과 방향(단위)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방법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비교 기준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확정일(YYYY-MM-DD)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 규칙: 충족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 규칙: 경계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 규칙: 미충족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첫 결과 수령일(YYYY-MM-DD)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[ ]  위의 확정일이 모두 첫 결과 수령일보다 앞섭니다.</w:t>
      </w:r>
    </w:p>
    <w:p>
      <w:pPr>
        <w:pStyle w:val="Heading1"/>
      </w:pPr>
      <w:r>
        <w:rPr>
          <w:color w:val="1F1F1F"/>
        </w:rPr>
        <w:t>2. 시험 조건과 진행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기간(YYYY-MM-DD~YYYY-MM-DD)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실제 라인과 운전 상태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시료와 대조 시료 계획 / 시험 / 제외 / 분실(개수)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인계 기록 완비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예  [ ] 아니요, 이탈 사항 참조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실제로 다룬 운전 조건 범위.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조건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단위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고객 운전 조건 범위(최저~최고)</w:t>
            </w:r>
          </w:p>
        </w:tc>
        <w:tc>
          <w:tcPr>
            <w:tcW w:type="dxa" w:w="300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시험에서 다룬 범위(최저~최고)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시험 유효성. 결과를 하나라도 읽기 전에 요소마다 기록과 대조해 판정합니다.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요소</w:t>
            </w:r>
          </w:p>
        </w:tc>
        <w:tc>
          <w:tcPr>
            <w:tcW w:type="dxa" w:w="368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판정</w:t>
            </w:r>
          </w:p>
        </w:tc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확인한 기록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시료 식별과 인계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유효  [ ] 주석 달고 유효  [ ] 유효하지 않음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방법, 단위, 검출 한계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유효  [ ] 주석 달고 유효  [ ] 유효하지 않음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기준 시료와 안정화 기간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유효  [ ] 주석 달고 유효  [ ] 유효하지 않음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대조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유효  [ ] 주석 달고 유효  [ ] 유효하지 않음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결과의 완결성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유효  [ ] 주석 달고 유효  [ ] 유효하지 않음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시험 계획에서 벗어난 사항.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68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이탈 사항(사실)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영향을 받은 결과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판독 영향</w:t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3. 기준별 결과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기준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결과: 평균, SD, n(단위)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대조 또는 기준 시료(단위)</w:t>
            </w:r>
          </w:p>
        </w:tc>
        <w:tc>
          <w:tcPr>
            <w:tcW w:type="dxa" w:w="102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여유(%)</w:t>
            </w:r>
          </w:p>
        </w:tc>
        <w:tc>
          <w:tcPr>
            <w:tcW w:type="dxa" w:w="272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판정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충족  [ ] 경계  [ ] 미충족  [ ] 판정 안 함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18"/>
        </w:rPr>
        <w:t>판정 안 한 기준: 기준, 사유, 이탈 번호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18"/>
        </w:rPr>
        <w:t>결과에 대해 검토한 다른 설명(물, 소재, 공정, 계절, 측정 방식 변경)과 이를 뒷받침하거나 반박하는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587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4. 최종 판정, 인정 범위, 승인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합격  [ ] 조건부 합격  [ ] 불합격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판정을 가른 기준과 그 여유(%)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시험의 근거가 된 권고와 일치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예  [ ] 아니요, 설명: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판정이 적용되는 제품 식별 정보.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등급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규격 개정 번호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제조 공장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포장</w:t>
            </w:r>
          </w:p>
        </w:tc>
      </w:tr>
      <w:tr>
        <w:trPr>
          <w:trHeight w:val="510"/>
        </w:trPr>
        <w:tc>
          <w:tcPr>
            <w:tcW w:type="dxa" w:w="238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인정 범위. 시험하지 않은 조건은 승인 범위 밖입니다.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조건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단위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인정 범위(최저~최고)</w:t>
            </w:r>
          </w:p>
        </w:tc>
        <w:tc>
          <w:tcPr>
            <w:tcW w:type="dxa" w:w="300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승인 범위 밖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정식 사용 조건: 투입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정식 사용 조건: 모니터링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정식 사용 조건: 입고 검사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변경 통보 경로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승인 조건(조건부 합격).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아직 받아야 할 것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담당자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기한(YYYY-MM-DD)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마감일(YYYY-MM-DD)</w:t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5. 기타 사항(선택)</w:t>
      </w:r>
    </w:p>
    <w:p>
      <w:pPr>
        <w:spacing w:after="40"/>
      </w:pPr>
      <w:r>
        <w:rPr>
          <w:b/>
          <w:i w:val="0"/>
          <w:sz w:val="18"/>
        </w:rPr>
        <w:t>승인자가 이번 결정에 필요하지만 위의 섹션 어디에도 맞지 않는 내용만 적습니다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역할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이름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서명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날짜(YYYY-MM-DD)</w:t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작성(공급사)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검토(공급사)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승인(고객사)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rPr>
          <w:color w:val="1F1F1F"/>
        </w:rPr>
        <w:t>설명용 예시(지어낸 값이며 실제 시험이 아님)</w:t>
      </w:r>
    </w:p>
    <w:p>
      <w:pPr>
        <w:spacing w:after="80"/>
      </w:pPr>
      <w:r>
        <w:rPr>
          <w:b w:val="0"/>
          <w:i/>
          <w:sz w:val="18"/>
        </w:rPr>
        <w:t>이 작성 예시는 4개 기준이 어떻게 조건부 합격으로 이어지는지 보여 줍니다. 제품, 임계값, 결과, 날짜는 모두 설명용입니다. 출처가 있는 값이나 권장 한계값이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평가한 제품, 등급, 로트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시험 절삭유, 등급 X, 로트 26-0917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대조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현재 절삭유, 로트 26-0802, 같은 라인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기간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2026-09-22~2026-10-20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 규칙: 경계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결과와 임계값의 차이가 시험법의 반복성 이내이거나 결과가 임계값과 같음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기준과 임계값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결과와 대조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여유(%)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판정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공구 수명, 대조의 110 % 이상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118 %(SD 6 %, n 8), 대조 100 %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+7.3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충족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에멀션 안정성, 분리량 2 mL 이하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1.2 mL(n 10), 대조 1.5 mL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+40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충족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부식 등급, 1 이하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1(n 10), 대조 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0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경계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세균 수, 10,000 CFU/mL 이하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최대 6,200 CFU/mL(9개 주기), 대조 7,800 CFU/mL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+38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9개 주기 충족, 1개 판정 안 함(이탈 사항 D-04, 계획 온도 범위를 넘어 도착)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판정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조건부 합격, 부식이 판정을 가름(여유 0 %)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적용 제품 식별 정보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등급 X, 규격 개정 번호 4, A공장, 1,000 L IBC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인정 범위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농도 4~6 %, 6 % 초과는 시험하지 않았으므로 승인 범위 밖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승인 조건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다음 납품 로트로 부식 재시험, 공급사 실험실, 기한 2026-11-15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417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sz w:val="16"/>
      </w:rPr>
      <w:t>서식 출처: www.lubinpla.com/ko/post/customer-trial-report-template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 시험 결과 보고서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