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화학제품 변경 통지서 템플릿</w:t>
      </w:r>
    </w:p>
    <w:p>
      <w:r>
        <w:rPr>
          <w:i w:val="0"/>
        </w:rPr>
        <w:t>화학제품이 바뀐다는 사실을 고객에게 서면으로 알리는 빈 양식입니다. 무엇이 바뀌는지, 어느 로트부터인지, 어떤 제품에 미치는지, 고객마다 무엇을 해야 하는지를 적습니다.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5F5F5"/>
          </w:tcPr>
          <w:p>
            <w:r/>
            <w:r>
              <w:rPr>
                <w:b/>
              </w:rPr>
              <w:t>이 템플릿 사용법</w:t>
            </w:r>
          </w:p>
          <w:p>
            <w:pPr>
              <w:spacing w:after="40"/>
            </w:pPr>
            <w:r>
              <w:t>1. 변경 한 건마다 통지서 하나를 씁니다. 구매 부서에만 보내지 말고 고객사마다 제품을 승인하는 사람에게 보내며, 수신자 명단을 통지서와 함께 보관합니다.</w:t>
            </w:r>
          </w:p>
          <w:p>
            <w:pPr>
              <w:spacing w:after="40"/>
            </w:pPr>
            <w:r>
              <w:t>2. 변경 내용은 같은 기준의 변경 전과 후, 그리고 변경이 시작되는 로트로 적습니다.</w:t>
            </w:r>
          </w:p>
          <w:p>
            <w:pPr>
              <w:spacing w:after="40"/>
            </w:pPr>
            <w:r>
              <w:t>3. 날짜는 YYYY-MM-DD로 쓰고, 모든 물성에 단위와 시험 방법을 붙입니다.</w:t>
            </w:r>
          </w:p>
          <w:p>
            <w:pPr>
              <w:spacing w:after="40"/>
            </w:pPr>
            <w:r>
              <w:t>4. 섹션 3의 제품마다 판정을 하나씩 씁니다: A = 영향 있음, CU = 확인된 영향 없음, U = 미확인. 아무도 확인하지 않은 제품은 CU가 아니라 U이며, 섹션 5에 담당자, 기한, 우선순위를 붙여 확인 항목으로 올립니다.</w:t>
            </w:r>
          </w:p>
          <w:p>
            <w:pPr>
              <w:spacing w:after="40"/>
            </w:pPr>
            <w:r>
              <w:t>5. 섹션 4의 모든 줄에 예, 아니요, 아직 평가하지 않음 가운데 하나로 답하고 근거를 적습니다.</w:t>
            </w:r>
          </w:p>
          <w:p>
            <w:pPr>
              <w:spacing w:after="40"/>
            </w:pPr>
            <w:r>
              <w:t>6. 개정한 물질안전보건자료(SDS)는 이와 별도로 해당 규정(예: EU REACH 제31조(9), 미국 29 CFR 1910.1200(g)(5))에 따라 수령자에게 보내고, 이 통지서에는 그 개정일을 적습니다.</w:t>
            </w:r>
          </w:p>
          <w:p>
            <w:pPr>
              <w:spacing w:after="40"/>
            </w:pPr>
            <w:r>
              <w:t>7. 나중에 확인한 결과로 판정이 바뀌면 같은 PCN 번호의 새 개정판을 발행하고 무엇이 바뀌었는지 적습니다.</w:t>
            </w:r>
          </w:p>
          <w:p>
            <w:pPr>
              <w:spacing w:after="40"/>
            </w:pPr>
            <w:r>
              <w:t>8. 안전 경고, 리콜, 긴급 SDS 개정은 계획된 변경이 아닙니다. 해당 규정과 사업장 비상 대응 절차를 먼저 따릅니다.</w:t>
            </w:r>
          </w:p>
          <w:p>
            <w:pPr>
              <w:spacing w:after="40"/>
            </w:pPr>
            <w:r>
              <w:t>9. 고객이 자체 변경 포털을 운영하면 그 포털에 변경을 입력하고, 이 양식은 작업 파일로 씁니다.</w:t>
            </w:r>
          </w:p>
          <w:p>
            <w:pPr>
              <w:spacing w:after="40"/>
            </w:pPr>
            <w:r>
              <w:t>10. 맨 뒤의 작성 예시는 설명을 위해 지어낸 것이며 실제 통지서가 아닙니다. 보내기 전에 지웁니다.</w:t>
            </w:r>
          </w:p>
        </w:tc>
      </w:tr>
    </w:tbl>
    <w:p/>
    <w:p>
      <w:pPr>
        <w:pStyle w:val="Heading1"/>
      </w:pPr>
      <w:r>
        <w:t>1. 통지 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  <w:shd w:val="clear" w:color="auto" w:fill="EDEDED"/>
          </w:tcPr>
          <w:p>
            <w:r/>
            <w:r>
              <w:rPr>
                <w:b/>
                <w:sz w:val="18"/>
              </w:rPr>
              <w:t>항목(단위 또는 형식)</w:t>
            </w:r>
          </w:p>
        </w:tc>
        <w:tc>
          <w:tcPr>
            <w:tcW w:type="dxa" w:w="5669"/>
            <w:shd w:val="clear" w:color="auto" w:fill="EDEDED"/>
          </w:tcPr>
          <w:p>
            <w:r/>
            <w:r>
              <w:rPr>
                <w:b/>
                <w:sz w:val="18"/>
              </w:rPr>
              <w:t>기재 내용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PCN 번호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발행일(YYYY-MM-DD)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개정 차수와 개정 내용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발행 회사와 제조 사업장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연락 담당자(이름, 역할, 이메일, 전화)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수신자(고객, 이름, 역할)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고객 회신 기한(YYYY-MM-DD)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2. 변경 내용과 적용일</w:t>
      </w:r>
    </w:p>
    <w:p>
      <w:r>
        <w:rPr>
          <w:i w:val="0"/>
        </w:rPr>
        <w:t>변경 유형(해당하는 것을 모두 표시):</w:t>
      </w:r>
    </w:p>
    <w:p>
      <w:r>
        <w:t>[ ] 배합</w:t>
      </w:r>
    </w:p>
    <w:p>
      <w:r>
        <w:t>[ ] 원료 공급원</w:t>
      </w:r>
    </w:p>
    <w:p>
      <w:r>
        <w:t>[ ] 제조 사업장</w:t>
      </w:r>
    </w:p>
    <w:p>
      <w:r>
        <w:t>[ ] 공정</w:t>
      </w:r>
    </w:p>
    <w:p>
      <w:r>
        <w:t>[ ] 포장 또는 라벨</w:t>
      </w:r>
    </w:p>
    <w:p>
      <w:r>
        <w:t>[ ] 시험 방법 또는 규격</w:t>
      </w:r>
    </w:p>
    <w:p>
      <w:r>
        <w:t>[ ] 단종</w:t>
      </w:r>
    </w:p>
    <w:p>
      <w:r>
        <w:t>[ ] 기타:</w:t>
      </w:r>
    </w:p>
    <w:p/>
    <w:p>
      <w:r>
        <w:rPr>
          <w:i w:val="0"/>
        </w:rPr>
        <w:t>변경 사유: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835"/>
            <w:shd w:val="clear" w:color="auto" w:fill="EDEDED"/>
          </w:tcPr>
          <w:p>
            <w:r/>
            <w:r>
              <w:rPr>
                <w:b/>
                <w:sz w:val="18"/>
              </w:rPr>
              <w:t>항목</w:t>
            </w:r>
          </w:p>
        </w:tc>
        <w:tc>
          <w:tcPr>
            <w:tcW w:type="dxa" w:w="3402"/>
            <w:shd w:val="clear" w:color="auto" w:fill="EDEDED"/>
          </w:tcPr>
          <w:p>
            <w:r/>
            <w:r>
              <w:rPr>
                <w:b/>
                <w:sz w:val="18"/>
              </w:rPr>
              <w:t>변경 전</w:t>
            </w:r>
          </w:p>
        </w:tc>
        <w:tc>
          <w:tcPr>
            <w:tcW w:type="dxa" w:w="3402"/>
            <w:shd w:val="clear" w:color="auto" w:fill="EDEDED"/>
          </w:tcPr>
          <w:p>
            <w:r/>
            <w:r>
              <w:rPr>
                <w:b/>
                <w:sz w:val="18"/>
              </w:rPr>
              <w:t>변경 후</w:t>
            </w:r>
          </w:p>
        </w:tc>
      </w:tr>
      <w:tr>
        <w:trPr>
          <w:trHeight w:val="680" w:hRule="atLeast"/>
        </w:trPr>
        <w:tc>
          <w:tcPr>
            <w:tcW w:type="dxa" w:w="2835"/>
          </w:tcPr>
          <w:p>
            <w:r>
              <w:rPr>
                <w:sz w:val="18"/>
              </w:rPr>
              <w:t>원료 등급 또는 공급원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835"/>
          </w:tcPr>
          <w:p>
            <w:r>
              <w:rPr>
                <w:sz w:val="18"/>
              </w:rPr>
              <w:t>제조 사업장 또는 라인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835"/>
          </w:tcPr>
          <w:p>
            <w:r>
              <w:rPr>
                <w:sz w:val="18"/>
              </w:rPr>
              <w:t>공정 단계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835"/>
          </w:tcPr>
          <w:p>
            <w:r>
              <w:rPr>
                <w:sz w:val="18"/>
              </w:rPr>
              <w:t>규격(물성, 한계, 단위, 방법)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835"/>
          </w:tcPr>
          <w:p>
            <w:r>
              <w:rPr>
                <w:sz w:val="18"/>
              </w:rPr>
              <w:t>포장 또는 라벨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  <w:shd w:val="clear" w:color="auto" w:fill="EDEDED"/>
          </w:tcPr>
          <w:p>
            <w:r/>
            <w:r>
              <w:rPr>
                <w:b/>
                <w:sz w:val="18"/>
              </w:rPr>
              <w:t>항목(단위 또는 형식)</w:t>
            </w:r>
          </w:p>
        </w:tc>
        <w:tc>
          <w:tcPr>
            <w:tcW w:type="dxa" w:w="5669"/>
            <w:shd w:val="clear" w:color="auto" w:fill="EDEDED"/>
          </w:tcPr>
          <w:p>
            <w:r/>
            <w:r>
              <w:rPr>
                <w:b/>
                <w:sz w:val="18"/>
              </w:rPr>
              <w:t>기재 내용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변경 후 첫 로트, 예상 생산일(YYYY-MM-DD)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변경 전 마지막 로트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현 버전의 최종 주문일(YYYY-MM-DD), 있는 경우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추적 기준일: 출하와 제품을 거슬러 조회한 시점(YYYY-MM-DD)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유해성 분류나 취급에 영향:  [ ] 예   [ ] 아니요   [ ] 아직 평가하지 않음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3. 영향받는 제품</w:t>
      </w:r>
    </w:p>
    <w:p>
      <w:r>
        <w:rPr>
          <w:i/>
        </w:rPr>
        <w:t>제품과 등급마다 한 행으로 적습니다. 근거: 배합 기록, 자재 명세서, 시험 결과, 또는 "확인 예정".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제품과 등급(고객 품번)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바뀌는 성분의 CAS 번호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판정(A, CU, U)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근거</w:t>
            </w:r>
          </w:p>
        </w:tc>
        <w:tc>
          <w:tcPr>
            <w:tcW w:type="dxa" w:w="1606"/>
            <w:shd w:val="clear" w:color="auto" w:fill="EDEDED"/>
          </w:tcPr>
          <w:p>
            <w:r>
              <w:t>추적 기간에 이 고객에게 공급한 로트(로트, 수량, 단위)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예상 영향(물성, 단위, 방법) 또는 계획한 확인과 날짜</w:t>
            </w:r>
          </w:p>
        </w:tc>
      </w:tr>
      <w:tr>
        <w:trPr>
          <w:trHeight w:val="68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4. 문서, 승인, 규제, 재고 영향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영역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후속 조치 필요: [ ] 예 [ ] 아니요 [ ] 아직 평가하지 않음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내용(개정 차수, 날짜)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근거</w:t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  <w:t>물질안전보건자료(SDS)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  <w:t>기술자료(TDS)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  <w:t>CoA 규격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  <w:t>고객 승인 또는 재승인(시료, 시험 가동, PPAP)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  <w:t>규제 상태(등록, 기존화학물질 목록 등재, 제한)와 관할 지역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  <w:t>라벨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  <w:t>현 버전의 기존 재고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5. 후속 조치와 확인</w:t>
      </w:r>
    </w:p>
    <w:p>
      <w:r>
        <w:rPr>
          <w:i/>
        </w:rPr>
        <w:t>남은 항목마다 한 행으로 적습니다: 미확인 제품 확인, SDS 발행, 시료, 시험. 담당자는 공급사 또는 고객입니다.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>
              <w:t>항목</w:t>
            </w:r>
          </w:p>
        </w:tc>
        <w:tc>
          <w:tcPr>
            <w:tcW w:type="dxa" w:w="2409"/>
            <w:shd w:val="clear" w:color="auto" w:fill="EDEDED"/>
          </w:tcPr>
          <w:p>
            <w:r>
              <w:t>담당자(공급사 또는 고객)</w:t>
            </w:r>
          </w:p>
        </w:tc>
        <w:tc>
          <w:tcPr>
            <w:tcW w:type="dxa" w:w="2409"/>
            <w:shd w:val="clear" w:color="auto" w:fill="EDEDED"/>
          </w:tcPr>
          <w:p>
            <w:r>
              <w:t>기한(YYYY-MM-DD)</w:t>
            </w:r>
          </w:p>
        </w:tc>
        <w:tc>
          <w:tcPr>
            <w:tcW w:type="dxa" w:w="2409"/>
            <w:shd w:val="clear" w:color="auto" w:fill="EDEDED"/>
          </w:tcPr>
          <w:p>
            <w:r>
              <w:t>우선순위(높음, 중간, 낮음)</w:t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</w:tbl>
    <w:p>
      <w:r/>
    </w:p>
    <w:p>
      <w:r>
        <w:rPr>
          <w:i w:val="0"/>
        </w:rPr>
        <w:t>고객이 직접 확인해야 할 사항(자체 공정, 자체 승인, 자체 재고):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/>
    </w:p>
    <w:p>
      <w:pPr>
        <w:pStyle w:val="Heading1"/>
      </w:pPr>
      <w:r>
        <w:t>6. 고객 회신</w:t>
      </w:r>
    </w:p>
    <w:p>
      <w:r>
        <w:rPr>
          <w:i/>
        </w:rPr>
        <w:t>고객이 작성해 섹션 1의 회신 기한까지 돌려보냅니다.</w:t>
      </w:r>
    </w:p>
    <w:p>
      <w:r>
        <w:t>[ ] 통지서를 받았고 내용을 이해함</w:t>
      </w:r>
    </w:p>
    <w:p>
      <w:r>
        <w:t>[ ] 섹션 3의 제품에 대한 변경 승인</w:t>
      </w:r>
    </w:p>
    <w:p>
      <w:r>
        <w:t>[ ] 변경 미승인, 사유:</w:t>
      </w:r>
    </w:p>
    <w:p>
      <w:r>
        <w:t>[ ] 시료 요청(제품, 수량, 단위):</w:t>
      </w:r>
    </w:p>
    <w:p>
      <w:r>
        <w:t>[ ] 승인 전 시험 또는 재승인 필요, 예정일:</w:t>
      </w:r>
    </w:p>
    <w:p>
      <w:r>
        <w:t>[ ] 공급사에 대한 질문: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고객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이름과 역할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날짜(YYYY-MM-DD)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서명</w:t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보내기 전 확인</w:t>
      </w:r>
    </w:p>
    <w:p>
      <w:r>
        <w:t>[ ] 변경 내용을 같은 기준의 변경 전과 후로 적었습니다.</w:t>
      </w:r>
    </w:p>
    <w:p>
      <w:r>
        <w:t>[ ] 변경 후 첫 로트와 변경 전 마지막 로트를 밝혔습니다.</w:t>
      </w:r>
    </w:p>
    <w:p>
      <w:r>
        <w:t>[ ] 추적 기준일을 적었습니다.</w:t>
      </w:r>
    </w:p>
    <w:p>
      <w:r>
        <w:t>[ ] 제품마다 판정 하나와 근거가 있고, 확인하지 않은 제품이 CU로 읽히지 않습니다.</w:t>
      </w:r>
    </w:p>
    <w:p>
      <w:r>
        <w:t>[ ] 영향받는 제품에 바뀌는 성분의 CAS 번호가 있습니다.</w:t>
      </w:r>
    </w:p>
    <w:p>
      <w:r>
        <w:t>[ ] 섹션 4의 모든 줄에 예, 아니요, 아직 평가하지 않음이 적혀 있습니다.</w:t>
      </w:r>
    </w:p>
    <w:p>
      <w:r>
        <w:t>[ ] 섹션 1에 회신 기한과 연락처가 있고, 섹션 5의 항목마다 담당자와 기한이 있습니다.</w:t>
      </w:r>
    </w:p>
    <w:p>
      <w:r>
        <w:t>[ ] 고객 품번이 고객의 구매 주문서와 일치합니다.</w:t>
      </w:r>
      <w:r>
        <w:br w:type="page"/>
      </w:r>
    </w:p>
    <w:p>
      <w:pPr>
        <w:pStyle w:val="Heading1"/>
      </w:pPr>
      <w:r>
        <w:t>작성 예시(지어낸 것이며 실제 통지서가 아님)</w:t>
      </w:r>
    </w:p>
    <w:p>
      <w:r>
        <w:rPr>
          <w:i/>
        </w:rPr>
        <w:t>아래 값은 모두 항목을 채우는 방법을 보여 주려고 지어낸 예시입니다. 실제 통지서를 보내기 전에 이 섹션을 지웁니다.</w:t>
      </w:r>
    </w:p>
    <w:p>
      <w:pPr>
        <w:pStyle w:val="Heading2"/>
      </w:pPr>
      <w:r>
        <w:t>예시: 2. 변경 내용과 적용일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  <w:shd w:val="clear" w:color="auto" w:fill="EDEDED"/>
          </w:tcPr>
          <w:p>
            <w:r/>
            <w:r>
              <w:rPr>
                <w:b/>
                <w:sz w:val="18"/>
              </w:rPr>
              <w:t>항목</w:t>
            </w:r>
          </w:p>
        </w:tc>
        <w:tc>
          <w:tcPr>
            <w:tcW w:type="dxa" w:w="5669"/>
            <w:shd w:val="clear" w:color="auto" w:fill="EDEDED"/>
          </w:tcPr>
          <w:p>
            <w:r/>
            <w:r>
              <w:rPr>
                <w:b/>
                <w:sz w:val="18"/>
              </w:rPr>
              <w:t>기재 내용(예시)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변경 유형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[x] 원료 공급원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사유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공급 안정을 위해 두 번째 기유 공급사 승인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변경 후 첫 로트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26-1201, 2026-12-01 생산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변경 전 마지막 로트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26-1130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현 버전의 최종 주문일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2026-11-20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유해성 분류나 취급에 영향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[x] 아니요</w:t>
            </w:r>
          </w:p>
        </w:tc>
      </w:tr>
    </w:tbl>
    <w:p/>
    <w:p>
      <w:pPr>
        <w:pStyle w:val="Heading2"/>
      </w:pPr>
      <w:r>
        <w:t>예시: 3. 영향받는 제품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DEDED"/>
          </w:tcPr>
          <w:p>
            <w:r/>
            <w:r>
              <w:rPr>
                <w:b/>
                <w:sz w:val="18"/>
              </w:rPr>
              <w:t>제품과 등급</w:t>
            </w:r>
          </w:p>
        </w:tc>
        <w:tc>
          <w:tcPr>
            <w:tcW w:type="dxa" w:w="3213"/>
            <w:shd w:val="clear" w:color="auto" w:fill="EDEDED"/>
          </w:tcPr>
          <w:p>
            <w:r/>
            <w:r>
              <w:rPr>
                <w:b/>
                <w:sz w:val="18"/>
              </w:rPr>
              <w:t>판정</w:t>
            </w:r>
          </w:p>
        </w:tc>
        <w:tc>
          <w:tcPr>
            <w:tcW w:type="dxa" w:w="3213"/>
            <w:shd w:val="clear" w:color="auto" w:fill="EDEDED"/>
          </w:tcPr>
          <w:p>
            <w:r/>
            <w:r>
              <w:rPr>
                <w:b/>
                <w:sz w:val="18"/>
              </w:rPr>
              <w:t>근거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>
            <w:r>
              <w:rPr>
                <w:sz w:val="18"/>
              </w:rPr>
              <w:t>기어유 등급 46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해당 기유 사용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>
            <w:r>
              <w:rPr>
                <w:sz w:val="18"/>
              </w:rPr>
              <w:t>기어유 등급 68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U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배합 기록 검토 중, 2026-11-10까지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>
            <w:r>
              <w:rPr>
                <w:sz w:val="18"/>
              </w:rPr>
              <w:t>유압유 등급 32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CU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자재 명세서상 다른 기유 사용</w:t>
            </w:r>
          </w:p>
        </w:tc>
      </w:tr>
    </w:tbl>
    <w:p/>
    <w:p>
      <w:pPr>
        <w:pStyle w:val="Heading2"/>
      </w:pPr>
      <w:r>
        <w:t>예시: 4. 영향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DEDED"/>
          </w:tcPr>
          <w:p>
            <w:r/>
            <w:r>
              <w:rPr>
                <w:b/>
                <w:sz w:val="18"/>
              </w:rPr>
              <w:t>영역</w:t>
            </w:r>
          </w:p>
        </w:tc>
        <w:tc>
          <w:tcPr>
            <w:tcW w:type="dxa" w:w="3213"/>
            <w:shd w:val="clear" w:color="auto" w:fill="EDEDED"/>
          </w:tcPr>
          <w:p>
            <w:r/>
            <w:r>
              <w:rPr>
                <w:b/>
                <w:sz w:val="18"/>
              </w:rPr>
              <w:t>후속 조치 필요</w:t>
            </w:r>
          </w:p>
        </w:tc>
        <w:tc>
          <w:tcPr>
            <w:tcW w:type="dxa" w:w="3213"/>
            <w:shd w:val="clear" w:color="auto" w:fill="EDEDED"/>
          </w:tcPr>
          <w:p>
            <w:r/>
            <w:r>
              <w:rPr>
                <w:b/>
                <w:sz w:val="18"/>
              </w:rPr>
              <w:t>근거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>
            <w:r>
              <w:rPr>
                <w:sz w:val="18"/>
              </w:rPr>
              <w:t>등급 46의 SDS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예, 새 기유 CAS 번호에 맞춰 항목 3 개정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배합 기록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>
            <w:r>
              <w:rPr>
                <w:sz w:val="18"/>
              </w:rPr>
              <w:t>등급 46의 TDS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아니요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비교 데이터 첨부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>
            <w:r>
              <w:rPr>
                <w:sz w:val="18"/>
              </w:rPr>
              <w:t>고객 승인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예, 2026-11-16까지 회신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파일럿 로트 시료 제공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>
            <w:r>
              <w:rPr>
                <w:sz w:val="18"/>
              </w:rPr>
              <w:t>기존 재고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최종 주문일 전에 들어온 주문에 로트 26-1130 이전 재고 공급 가능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재고 기록</w:t>
            </w:r>
          </w:p>
        </w:tc>
      </w:tr>
    </w:tbl>
    <w:p/>
    <w:p>
      <w:pPr>
        <w:pStyle w:val="Heading2"/>
      </w:pPr>
      <w:r>
        <w:t>예시: 5. 후속 조치와 확인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>
              <w:t>항목</w:t>
            </w:r>
          </w:p>
        </w:tc>
        <w:tc>
          <w:tcPr>
            <w:tcW w:type="dxa" w:w="2409"/>
            <w:shd w:val="clear" w:color="auto" w:fill="EDEDED"/>
          </w:tcPr>
          <w:p>
            <w:r>
              <w:t>담당자</w:t>
            </w:r>
          </w:p>
        </w:tc>
        <w:tc>
          <w:tcPr>
            <w:tcW w:type="dxa" w:w="2409"/>
            <w:shd w:val="clear" w:color="auto" w:fill="EDEDED"/>
          </w:tcPr>
          <w:p>
            <w:r>
              <w:t>기한</w:t>
            </w:r>
          </w:p>
        </w:tc>
        <w:tc>
          <w:tcPr>
            <w:tcW w:type="dxa" w:w="2409"/>
            <w:shd w:val="clear" w:color="auto" w:fill="EDEDED"/>
          </w:tcPr>
          <w:p>
            <w:r>
              <w:t>우선순위</w:t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  <w:t>기어유 등급 68 배합 검토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공급사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2026-11-10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높음</w:t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  <w:t>등급 46 개정 SDS를 수령자에게 발송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공급사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2026-11-16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높음</w:t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  <w:t>파일럿 로트 시료를 자체 공정에서 시험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고객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2026-11-16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높음</w:t>
            </w:r>
          </w:p>
        </w:tc>
      </w:tr>
    </w:tbl>
    <w:p>
      <w:r/>
    </w:p>
    <w:sectPr w:rsidR="00FC693F" w:rsidRPr="0006063C" w:rsidSect="00034616">
      <w:footerReference w:type="default" r:id="rId9"/>
      <w:pgSz w:w="11906" w:h="16838"/>
      <w:pgMar w:top="1417" w:right="1134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서식 출처: www.lubinpla.com/ko/post/product-change-notification-template-chemical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Malgun Gothic"/>
      <w:sz w:val="20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eastAsia="Malgun Gothic"/>
      <w:lang w:eastAsia="ko-KR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eastAsia="Malgun Gothic"/>
      <w:lang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 w:eastAsia="Malgun Gothic"/>
      <w:b/>
      <w:bCs/>
      <w:color w:val="1F1F1F"/>
      <w:sz w:val="26"/>
      <w:szCs w:val="28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Malgun Gothic"/>
      <w:b/>
      <w:bCs/>
      <w:color w:val="1F1F1F"/>
      <w:sz w:val="22"/>
      <w:szCs w:val="26"/>
      <w:lang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Malgun Gothic"/>
      <w:b/>
      <w:bCs/>
      <w:color w:val="4F81BD" w:themeColor="accent1"/>
      <w:lang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Malgun Gothic"/>
      <w:b/>
      <w:bCs/>
      <w:i/>
      <w:iCs/>
      <w:color w:val="4F81BD" w:themeColor="accent1"/>
      <w:lang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Malgun Gothic"/>
      <w:color w:val="243F60" w:themeColor="accent1" w:themeShade="7F"/>
      <w:lang w:eastAsia="ko-K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Malgun Gothic"/>
      <w:i/>
      <w:iCs/>
      <w:color w:val="243F60" w:themeColor="accent1" w:themeShade="7F"/>
      <w:lang w:eastAsia="ko-K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lang w:eastAsia="ko-K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Malgun Gothic"/>
      <w:color w:val="4F81BD" w:themeColor="accent1"/>
      <w:sz w:val="20"/>
      <w:szCs w:val="20"/>
      <w:lang w:eastAsia="ko-K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sz w:val="2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eastAsia="Malgun Gothic"/>
      <w:lang w:eastAsia="ko-KR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Malgun Gothic"/>
      <w:color w:val="1F1F1F"/>
      <w:spacing w:val="5"/>
      <w:kern w:val="28"/>
      <w:sz w:val="36"/>
      <w:szCs w:val="52"/>
      <w:lang w:eastAsia="ko-K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Malgun Gothic"/>
      <w:i/>
      <w:iCs/>
      <w:color w:val="4F81BD" w:themeColor="accent1"/>
      <w:spacing w:val="15"/>
      <w:sz w:val="24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eastAsia="Malgun Gothic"/>
      <w:lang w:eastAsia="ko-KR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eastAsia="Malgun Gothic"/>
      <w:lang w:eastAsia="ko-KR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eastAsia="Malgun Gothic"/>
      <w:lang w:eastAsia="ko-KR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eastAsia="Malgun Gothic"/>
      <w:sz w:val="16"/>
      <w:szCs w:val="16"/>
      <w:lang w:eastAsia="ko-KR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eastAsia="Malgun Gothic"/>
      <w:lang w:eastAsia="ko-KR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eastAsia="Malgun Gothic"/>
      <w:lang w:eastAsia="ko-KR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eastAsia="Malgun Gothic"/>
      <w:lang w:eastAsia="ko-KR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eastAsia="Malgun Gothic"/>
      <w:lang w:eastAsia="ko-KR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eastAsia="Malgun Gothic"/>
      <w:lang w:eastAsia="ko-KR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eastAsia="Malgun Gothic"/>
      <w:lang w:eastAsia="ko-KR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eastAsia="Malgun Gothic"/>
      <w:lang w:eastAsia="ko-KR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eastAsia="Malgun Gothic"/>
      <w:lang w:eastAsia="ko-KR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eastAsia="Malgun Gothic"/>
      <w:lang w:eastAsia="ko-KR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eastAsia="Malgun Gothic"/>
      <w:lang w:eastAsia="ko-KR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eastAsia="Malgun Gothic"/>
      <w:lang w:eastAsia="ko-KR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eastAsia="Malgun Gothic"/>
      <w:lang w:eastAsia="ko-KR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  <w:lang w:eastAsia="ko-KR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eastAsia="Malgun Gothic"/>
      <w:i/>
      <w:iCs/>
      <w:color w:val="000000" w:themeColor="text1"/>
      <w:lang w:eastAsia="ko-KR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eastAsia="Malgun Gothic"/>
      <w:b/>
      <w:bCs/>
      <w:color w:val="4F81BD" w:themeColor="accent1"/>
      <w:sz w:val="18"/>
      <w:szCs w:val="18"/>
      <w:lang w:eastAsia="ko-KR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="Malgun Gothic"/>
      <w:b/>
      <w:bCs/>
      <w:i/>
      <w:iCs/>
      <w:color w:val="4F81BD" w:themeColor="accent1"/>
      <w:lang w:eastAsia="ko-K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eastAsia="Malgun Gothic"/>
      <w:lang w:eastAsia="ko-KR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화학제품 변경 통지서 템플릿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