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원료 대체 체크리스트</w:t>
      </w:r>
    </w:p>
    <w:p>
      <w:r>
        <w:t>기존 화학제품 배합에서 원료 하나를 뺄 때 씁니다. 빠지는 원료마다, 배합마다 체크리스트를 한 부씩 작성합니다.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2F2"/>
          </w:tcPr>
          <w:p>
            <w:r>
              <w:t>작성 방법</w:t>
            </w:r>
          </w:p>
          <w:p>
            <w:r>
              <w:rPr>
                <w:sz w:val="18"/>
              </w:rPr>
              <w:t>1. 섹션을 순서대로 채웁니다. 각 섹션은 앞 섹션의 내용을 바탕으로 작성합니다.</w:t>
            </w:r>
          </w:p>
          <w:p>
            <w:r>
              <w:rPr>
                <w:sz w:val="18"/>
              </w:rPr>
              <w:t>2. 모든 값에 출처(출하 데이터, 규격, SDS, TDS, CoA)를 적습니다. 가정은 가정이라고 표시합니다.</w:t>
            </w:r>
          </w:p>
          <w:p>
            <w:r>
              <w:rPr>
                <w:sz w:val="18"/>
              </w:rPr>
              <w:t>3. 해당하는 [ ] 항목에 표시하고, 아니요로 표시한 항목에는 모두 옆에 사유를 적습니다.</w:t>
            </w:r>
          </w:p>
          <w:p>
            <w:r>
              <w:rPr>
                <w:sz w:val="18"/>
              </w:rPr>
              <w:t>4. 섹션 6(합격 기준과 중단 기준)은 첫 벤치 배치 전에 서명합니다. 결과를 본 뒤에 기준을 바꾸면 이 체크리스트를 새로 개정해야 합니다.</w:t>
            </w:r>
          </w:p>
          <w:p>
            <w:r>
              <w:rPr>
                <w:sz w:val="18"/>
              </w:rPr>
              <w:t>5. 원료는 한 번에 하나씩 바꿉니다. 여러 원료를 함께 바꾸면 대체가 아니라 새 설계입니다. 작업 지시서 한 건에 적용하는 일회성 편차라면 섹션 1~4, 섹션 5의 출하 시험, 섹션 6의 해당 합격 기준을 작성합니다. 섹션 5의 안정성 항목과 문서 항목은 해당하지 않으면 건너뛰어도 됩니다.</w:t>
            </w:r>
          </w:p>
          <w:p>
            <w:r>
              <w:rPr>
                <w:sz w:val="18"/>
              </w:rPr>
              <w:t>6. 이 체크리스트는 회사의 변경 관리나 변경관리(MOC) 절차, SDS, 안전 검토를 대신하지 않습니다. 해당 문서에 첨부합니다.</w:t>
            </w:r>
          </w:p>
          <w:p>
            <w:r>
              <w:rPr>
                <w:sz w:val="18"/>
              </w:rPr>
              <w:t>7. 마지막 페이지의 설명용 예시는 어느 정도까지 자세히 적는지 보여 줍니다. 예시 값은 지어낸 값입니다.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118"/>
            <w:shd w:val="clear" w:color="auto" w:fill="E7E6E6"/>
          </w:tcPr>
          <w:p>
            <w:r>
              <w:t>항목</w:t>
            </w:r>
          </w:p>
        </w:tc>
        <w:tc>
          <w:tcPr>
            <w:tcW w:type="dxa" w:w="6520"/>
            <w:shd w:val="clear" w:color="auto" w:fill="E7E6E6"/>
          </w:tcPr>
          <w:p>
            <w:r>
              <w:t>기재</w:t>
            </w:r>
          </w:p>
        </w:tc>
      </w:tr>
      <w:tr>
        <w:trPr>
          <w:trHeight w:val="454"/>
        </w:trPr>
        <w:tc>
          <w:tcPr>
            <w:tcW w:type="dxa" w:w="3118"/>
          </w:tcPr>
          <w:p>
            <w:r>
              <w:t>제품명과 배합 ID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118"/>
          </w:tcPr>
          <w:p>
            <w:r>
              <w:t>배합 개정 번호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118"/>
          </w:tcPr>
          <w:p>
            <w:r>
              <w:t>체크리스트 개정 번호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118"/>
          </w:tcPr>
          <w:p>
            <w:r>
              <w:t>작성자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118"/>
          </w:tcPr>
          <w:p>
            <w:r>
              <w:t>날짜(YYYY-MM-DD)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1. 빠지는 원료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515"/>
            <w:shd w:val="clear" w:color="auto" w:fill="E7E6E6"/>
          </w:tcPr>
          <w:p>
            <w:r>
              <w:t>항목</w:t>
            </w:r>
          </w:p>
        </w:tc>
        <w:tc>
          <w:tcPr>
            <w:tcW w:type="dxa" w:w="1417"/>
            <w:shd w:val="clear" w:color="auto" w:fill="E7E6E6"/>
          </w:tcPr>
          <w:p>
            <w:r>
              <w:t>단위</w:t>
            </w:r>
          </w:p>
        </w:tc>
        <w:tc>
          <w:tcPr>
            <w:tcW w:type="dxa" w:w="2721"/>
            <w:shd w:val="clear" w:color="auto" w:fill="E7E6E6"/>
          </w:tcPr>
          <w:p>
            <w:r>
              <w:t>기재</w:t>
            </w:r>
          </w:p>
        </w:tc>
        <w:tc>
          <w:tcPr>
            <w:tcW w:type="dxa" w:w="1984"/>
            <w:shd w:val="clear" w:color="auto" w:fill="E7E6E6"/>
          </w:tcPr>
          <w:p>
            <w:r>
              <w:t>출처</w:t>
            </w:r>
          </w:p>
        </w:tc>
      </w:tr>
      <w:tr>
        <w:trPr>
          <w:trHeight w:val="454"/>
        </w:trPr>
        <w:tc>
          <w:tcPr>
            <w:tcW w:type="dxa" w:w="3515"/>
          </w:tcPr>
          <w:p>
            <w:r>
              <w:t>상품명과 등급</w:t>
            </w:r>
          </w:p>
        </w:tc>
        <w:tc>
          <w:tcPr>
            <w:tcW w:type="dxa" w:w="1417"/>
          </w:tcPr>
          <w:p>
            <w:r>
              <w:t>텍스트</w:t>
            </w:r>
          </w:p>
        </w:tc>
        <w:tc>
          <w:tcPr>
            <w:tcW w:type="dxa" w:w="272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515"/>
          </w:tcPr>
          <w:p>
            <w:r>
              <w:t>공급사</w:t>
            </w:r>
          </w:p>
        </w:tc>
        <w:tc>
          <w:tcPr>
            <w:tcW w:type="dxa" w:w="1417"/>
          </w:tcPr>
          <w:p>
            <w:r>
              <w:t>텍스트</w:t>
            </w:r>
          </w:p>
        </w:tc>
        <w:tc>
          <w:tcPr>
            <w:tcW w:type="dxa" w:w="272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515"/>
          </w:tcPr>
          <w:p>
            <w:r>
              <w:t>구성 성분별 CAS 번호(SDS 3항)</w:t>
            </w:r>
          </w:p>
        </w:tc>
        <w:tc>
          <w:tcPr>
            <w:tcW w:type="dxa" w:w="1417"/>
          </w:tcPr>
          <w:p>
            <w:r>
              <w:t>CAS 번호</w:t>
            </w:r>
          </w:p>
        </w:tc>
        <w:tc>
          <w:tcPr>
            <w:tcW w:type="dxa" w:w="272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515"/>
          </w:tcPr>
          <w:p>
            <w:r>
              <w:t>배합 내 함량, 납품 상태 기준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>wt%</w:t>
            </w:r>
          </w:p>
        </w:tc>
        <w:tc>
          <w:tcPr>
            <w:tcW w:type="dxa" w:w="272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515"/>
          </w:tcPr>
          <w:p>
            <w:r>
              <w:t>원료의 유효 성분 함량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>% w/w</w:t>
            </w:r>
          </w:p>
        </w:tc>
        <w:tc>
          <w:tcPr>
            <w:tcW w:type="dxa" w:w="272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515"/>
          </w:tcPr>
          <w:p>
            <w:r>
              <w:t>배합 내 함량, 유효 성분 기준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>wt%</w:t>
            </w:r>
          </w:p>
        </w:tc>
        <w:tc>
          <w:tcPr>
            <w:tcW w:type="dxa" w:w="272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515"/>
          </w:tcPr>
          <w:p>
            <w:r>
              <w:t>마지막 구매 가능일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>YYYY-MM-DD</w:t>
            </w:r>
          </w:p>
        </w:tc>
        <w:tc>
          <w:tcPr>
            <w:tcW w:type="dxa" w:w="272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515"/>
          </w:tcPr>
          <w:p>
            <w:r>
              <w:t>현재 재고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>kg</w:t>
            </w:r>
          </w:p>
        </w:tc>
        <w:tc>
          <w:tcPr>
            <w:tcW w:type="dxa" w:w="272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515"/>
          </w:tcPr>
          <w:p>
            <w:r>
              <w:t>이 원료를 쓰는 다른 배합</w:t>
            </w:r>
          </w:p>
        </w:tc>
        <w:tc>
          <w:tcPr>
            <w:tcW w:type="dxa" w:w="1417"/>
          </w:tcPr>
          <w:p>
            <w:r>
              <w:t>배합 ID</w:t>
            </w:r>
          </w:p>
        </w:tc>
        <w:tc>
          <w:tcPr>
            <w:tcW w:type="dxa" w:w="272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</w:tr>
    </w:tbl>
    <w:p/>
    <w:p>
      <w:r>
        <w:t>빠지는 사유:</w:t>
      </w:r>
    </w:p>
    <w:p>
      <w:pPr>
        <w:spacing w:after="40"/>
        <w:ind w:left="227"/>
      </w:pPr>
      <w:r>
        <w:t>[ ]  제조사 단종</w:t>
      </w:r>
    </w:p>
    <w:p>
      <w:pPr>
        <w:spacing w:after="40"/>
        <w:ind w:left="227"/>
      </w:pPr>
      <w:r>
        <w:t>[ ]  규제(규정과 시장 기재): ____________________</w:t>
      </w:r>
    </w:p>
    <w:p>
      <w:pPr>
        <w:spacing w:after="40"/>
        <w:ind w:left="227"/>
      </w:pPr>
      <w:r>
        <w:t>[ ]  공급(할당, 리드타임, 단일 공급원)</w:t>
      </w:r>
    </w:p>
    <w:p>
      <w:pPr>
        <w:spacing w:after="40"/>
        <w:ind w:left="227"/>
      </w:pPr>
      <w:r>
        <w:t>[ ]  기타: ____________________</w:t>
      </w:r>
    </w:p>
    <w:p>
      <w:pPr>
        <w:pStyle w:val="Heading1"/>
      </w:pPr>
      <w:r>
        <w:t>2. 빠지는 원료의 기능</w:t>
      </w:r>
    </w:p>
    <w:p>
      <w:r>
        <w:t>원료가 제품과 공정에서 하는 일을 모두 적습니다. 일마다 단위와 시험 방법을 갖춘 측정 물성을 연결합니다.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268"/>
            <w:shd w:val="clear" w:color="auto" w:fill="E7E6E6"/>
          </w:tcPr>
          <w:p>
            <w:r>
              <w:t>일</w:t>
            </w:r>
          </w:p>
        </w:tc>
        <w:tc>
          <w:tcPr>
            <w:tcW w:type="dxa" w:w="3118"/>
            <w:shd w:val="clear" w:color="auto" w:fill="E7E6E6"/>
          </w:tcPr>
          <w:p>
            <w:r>
              <w:t>물성과 시험 방법</w:t>
            </w:r>
          </w:p>
        </w:tc>
        <w:tc>
          <w:tcPr>
            <w:tcW w:type="dxa" w:w="2268"/>
            <w:shd w:val="clear" w:color="auto" w:fill="E7E6E6"/>
          </w:tcPr>
          <w:p>
            <w:r>
              <w:t>현재 값과 단위</w:t>
            </w:r>
          </w:p>
        </w:tc>
        <w:tc>
          <w:tcPr>
            <w:tcW w:type="dxa" w:w="1984"/>
            <w:shd w:val="clear" w:color="auto" w:fill="E7E6E6"/>
          </w:tcPr>
          <w:p>
            <w:r>
              <w:t>핵심 여부 [ ] 예 [ ] 아니요</w:t>
            </w:r>
          </w:p>
        </w:tc>
      </w:tr>
      <w:tr>
        <w:trPr>
          <w:trHeight w:val="567"/>
        </w:trPr>
        <w:tc>
          <w:tcPr>
            <w:tcW w:type="dxa" w:w="2268"/>
          </w:tcPr>
          <w:p>
            <w:r/>
            <w:r>
              <w:rPr>
                <w:sz w:val="18"/>
              </w:rPr>
              <w:t>1.</w:t>
            </w:r>
          </w:p>
        </w:tc>
        <w:tc>
          <w:tcPr>
            <w:tcW w:type="dxa" w:w="311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>
              <w:t>[ ] 예  [ ] 아니요</w:t>
            </w:r>
          </w:p>
        </w:tc>
      </w:tr>
      <w:tr>
        <w:trPr>
          <w:trHeight w:val="567"/>
        </w:trPr>
        <w:tc>
          <w:tcPr>
            <w:tcW w:type="dxa" w:w="2268"/>
          </w:tcPr>
          <w:p>
            <w:r/>
            <w:r>
              <w:rPr>
                <w:sz w:val="18"/>
              </w:rPr>
              <w:t>2.</w:t>
            </w:r>
          </w:p>
        </w:tc>
        <w:tc>
          <w:tcPr>
            <w:tcW w:type="dxa" w:w="311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>
              <w:t>[ ] 예  [ ] 아니요</w:t>
            </w:r>
          </w:p>
        </w:tc>
      </w:tr>
      <w:tr>
        <w:trPr>
          <w:trHeight w:val="567"/>
        </w:trPr>
        <w:tc>
          <w:tcPr>
            <w:tcW w:type="dxa" w:w="2268"/>
          </w:tcPr>
          <w:p>
            <w:r/>
            <w:r>
              <w:rPr>
                <w:sz w:val="18"/>
              </w:rPr>
              <w:t>3.</w:t>
            </w:r>
          </w:p>
        </w:tc>
        <w:tc>
          <w:tcPr>
            <w:tcW w:type="dxa" w:w="311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>
              <w:t>[ ] 예  [ ] 아니요</w:t>
            </w:r>
          </w:p>
        </w:tc>
      </w:tr>
      <w:tr>
        <w:trPr>
          <w:trHeight w:val="567"/>
        </w:trPr>
        <w:tc>
          <w:tcPr>
            <w:tcW w:type="dxa" w:w="2268"/>
          </w:tcPr>
          <w:p>
            <w:r/>
            <w:r>
              <w:rPr>
                <w:sz w:val="18"/>
              </w:rPr>
              <w:t>4.</w:t>
            </w:r>
          </w:p>
        </w:tc>
        <w:tc>
          <w:tcPr>
            <w:tcW w:type="dxa" w:w="311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>
              <w:t>[ ] 예  [ ] 아니요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969"/>
            <w:shd w:val="clear" w:color="auto" w:fill="E7E6E6"/>
          </w:tcPr>
          <w:p>
            <w:r>
              <w:t>공정에서의 역할</w:t>
            </w:r>
          </w:p>
        </w:tc>
        <w:tc>
          <w:tcPr>
            <w:tcW w:type="dxa" w:w="1701"/>
            <w:shd w:val="clear" w:color="auto" w:fill="E7E6E6"/>
          </w:tcPr>
          <w:p>
            <w:r>
              <w:t>단위</w:t>
            </w:r>
          </w:p>
        </w:tc>
        <w:tc>
          <w:tcPr>
            <w:tcW w:type="dxa" w:w="3969"/>
            <w:shd w:val="clear" w:color="auto" w:fill="E7E6E6"/>
          </w:tcPr>
          <w:p>
            <w:r>
              <w:t>기재</w:t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>
              <w:t>투입 순서(공정 단계 번호)</w:t>
            </w:r>
          </w:p>
        </w:tc>
        <w:tc>
          <w:tcPr>
            <w:tcW w:type="dxa" w:w="1701"/>
          </w:tcPr>
          <w:p>
            <w:r>
              <w:t>단계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>
              <w:t>투입 시점의 배치 온도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°C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>
              <w:t>납품 상태의 형태(액체, 고체, 페이스트)</w:t>
            </w:r>
          </w:p>
        </w:tc>
        <w:tc>
          <w:tcPr>
            <w:tcW w:type="dxa" w:w="1701"/>
          </w:tcPr>
          <w:p>
            <w:r>
              <w:t>텍스트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>
              <w:t>다음 원료 투입 전에 녹아야 하는가</w:t>
            </w:r>
          </w:p>
        </w:tc>
        <w:tc>
          <w:tcPr>
            <w:tcW w:type="dxa" w:w="1701"/>
          </w:tcPr>
          <w:p>
            <w:r>
              <w:t>[ ] 예 [ ] 아니요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>
              <w:t>함께 작용하는 성분(짝)</w:t>
            </w:r>
          </w:p>
        </w:tc>
        <w:tc>
          <w:tcPr>
            <w:tcW w:type="dxa" w:w="1701"/>
          </w:tcPr>
          <w:p>
            <w:r>
              <w:t>텍스트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3. 대체 후보</w:t>
      </w:r>
    </w:p>
    <w:p>
      <w:r>
        <w:t>후보는 모두 같은 행에 적습니다. 투입량은 유효 성분 기준으로 정합니다: 후보 투입량(wt%) = 기존 투입량(wt%) x 기존 원료의 유효 성분 함량(%) / 후보의 유효 성분 함량(%). 차이는 물이나 캐리어로 채워 배합 합계가 100 wt%가 되게 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2948"/>
            <w:shd w:val="clear" w:color="auto" w:fill="E7E6E6"/>
          </w:tcPr>
          <w:p>
            <w:r>
              <w:t>항목</w:t>
            </w:r>
          </w:p>
        </w:tc>
        <w:tc>
          <w:tcPr>
            <w:tcW w:type="dxa" w:w="1361"/>
            <w:shd w:val="clear" w:color="auto" w:fill="E7E6E6"/>
          </w:tcPr>
          <w:p>
            <w:r>
              <w:t>단위</w:t>
            </w:r>
          </w:p>
        </w:tc>
        <w:tc>
          <w:tcPr>
            <w:tcW w:type="dxa" w:w="1757"/>
            <w:shd w:val="clear" w:color="auto" w:fill="E7E6E6"/>
          </w:tcPr>
          <w:p>
            <w:r>
              <w:t>후보 A</w:t>
            </w:r>
          </w:p>
        </w:tc>
        <w:tc>
          <w:tcPr>
            <w:tcW w:type="dxa" w:w="1757"/>
            <w:shd w:val="clear" w:color="auto" w:fill="E7E6E6"/>
          </w:tcPr>
          <w:p>
            <w:r>
              <w:t>후보 B</w:t>
            </w:r>
          </w:p>
        </w:tc>
        <w:tc>
          <w:tcPr>
            <w:tcW w:type="dxa" w:w="1814"/>
            <w:shd w:val="clear" w:color="auto" w:fill="E7E6E6"/>
          </w:tcPr>
          <w:p>
            <w:r>
              <w:t>후보 C</w:t>
            </w:r>
          </w:p>
        </w:tc>
      </w:tr>
      <w:tr>
        <w:trPr>
          <w:trHeight w:val="454"/>
        </w:trPr>
        <w:tc>
          <w:tcPr>
            <w:tcW w:type="dxa" w:w="2948"/>
          </w:tcPr>
          <w:p>
            <w:r>
              <w:t>상품명, 등급, 공급사</w:t>
            </w:r>
          </w:p>
        </w:tc>
        <w:tc>
          <w:tcPr>
            <w:tcW w:type="dxa" w:w="1361"/>
          </w:tcPr>
          <w:p>
            <w:r>
              <w:t>텍스트</w:t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948"/>
          </w:tcPr>
          <w:p>
            <w:r>
              <w:t>구성 성분별 CAS 번호(SDS 3항)</w:t>
            </w:r>
          </w:p>
        </w:tc>
        <w:tc>
          <w:tcPr>
            <w:tcW w:type="dxa" w:w="1361"/>
          </w:tcPr>
          <w:p>
            <w:r>
              <w:t>CAS 번호</w:t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948"/>
          </w:tcPr>
          <w:p>
            <w:r>
              <w:t>빠지는 원료에 없던 성분</w:t>
            </w:r>
          </w:p>
        </w:tc>
        <w:tc>
          <w:tcPr>
            <w:tcW w:type="dxa" w:w="1361"/>
          </w:tcPr>
          <w:p>
            <w:r>
              <w:t>텍스트</w:t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948"/>
          </w:tcPr>
          <w:p>
            <w:r>
              <w:t>납품 상태의 유효 성분 함량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>% w/w</w:t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948"/>
          </w:tcPr>
          <w:p>
            <w:r>
              <w:t>규격의 불순물 또는 부산물 한도</w:t>
            </w:r>
          </w:p>
        </w:tc>
        <w:tc>
          <w:tcPr>
            <w:tcW w:type="dxa" w:w="1361"/>
          </w:tcPr>
          <w:p>
            <w:r>
              <w:t>% 또는 mg/kg</w:t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948"/>
          </w:tcPr>
          <w:p>
            <w:r>
              <w:t>기존 유효 성분 함량에 맞춘 투입량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>wt%</w:t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948"/>
          </w:tcPr>
          <w:p>
            <w:r>
              <w:t>TDS 수령</w:t>
            </w:r>
          </w:p>
        </w:tc>
        <w:tc>
          <w:tcPr>
            <w:tcW w:type="dxa" w:w="1361"/>
          </w:tcPr>
          <w:p>
            <w:r>
              <w:t>[ ] 예 [ ] 아니요</w:t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948"/>
          </w:tcPr>
          <w:p>
            <w:r>
              <w:t>SDS 개정일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>YYYY-MM-DD</w:t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948"/>
          </w:tcPr>
          <w:p>
            <w:r>
              <w:t>받은 CoA(로트 수)</w:t>
            </w:r>
          </w:p>
        </w:tc>
        <w:tc>
          <w:tcPr>
            <w:tcW w:type="dxa" w:w="1361"/>
          </w:tcPr>
          <w:p>
            <w:r>
              <w:t>건수</w:t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948"/>
          </w:tcPr>
          <w:p>
            <w:r>
              <w:t>시장별 규제 확인서</w:t>
            </w:r>
          </w:p>
        </w:tc>
        <w:tc>
          <w:tcPr>
            <w:tcW w:type="dxa" w:w="1361"/>
          </w:tcPr>
          <w:p>
            <w:r>
              <w:t>시장: 상태</w:t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948"/>
          </w:tcPr>
          <w:p>
            <w:r>
              <w:t>리드타임과 공급 메모</w:t>
            </w:r>
          </w:p>
        </w:tc>
        <w:tc>
          <w:tcPr>
            <w:tcW w:type="dxa" w:w="1361"/>
          </w:tcPr>
          <w:p>
            <w:r>
              <w:t>주, 텍스트</w:t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4. 상용성 검토</w:t>
      </w:r>
    </w:p>
    <w:p>
      <w:r>
        <w:t>후보마다 항목별로 적합(P), 주의(C), 부적합(F)을 표시하고 사유를 적습니다.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6236"/>
            <w:shd w:val="clear" w:color="auto" w:fill="E7E6E6"/>
          </w:tcPr>
          <w:p>
            <w:r>
              <w:t>점검 항목</w:t>
            </w:r>
          </w:p>
        </w:tc>
        <w:tc>
          <w:tcPr>
            <w:tcW w:type="dxa" w:w="1134"/>
            <w:shd w:val="clear" w:color="auto" w:fill="E7E6E6"/>
          </w:tcPr>
          <w:p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1134"/>
            <w:shd w:val="clear" w:color="auto" w:fill="E7E6E6"/>
          </w:tcPr>
          <w:p>
            <w:r/>
            <w:r>
              <w:rPr>
                <w:b/>
                <w:sz w:val="18"/>
              </w:rPr>
              <w:t>B</w:t>
            </w:r>
          </w:p>
        </w:tc>
        <w:tc>
          <w:tcPr>
            <w:tcW w:type="dxa" w:w="1134"/>
            <w:shd w:val="clear" w:color="auto" w:fill="E7E6E6"/>
          </w:tcPr>
          <w:p>
            <w:r/>
            <w:r>
              <w:rPr>
                <w:b/>
                <w:sz w:val="18"/>
              </w:rPr>
              <w:t>C</w:t>
            </w:r>
          </w:p>
        </w:tc>
      </w:tr>
      <w:tr>
        <w:trPr>
          <w:trHeight w:val="454"/>
        </w:trPr>
        <w:tc>
          <w:tcPr>
            <w:tcW w:type="dxa" w:w="6236"/>
          </w:tcPr>
          <w:p>
            <w:r>
              <w:t>[ ] 다른 성분과의 짝(전하, 결합, 킬레이트, 반응)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6236"/>
          </w:tcPr>
          <w:p>
            <w:r>
              <w:t>[ ] 제품의 pH 범위: 가수분해나 침전 없음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6236"/>
          </w:tcPr>
          <w:p>
            <w:r>
              <w:t>[ ] 공정, 보관, 사용 시 온도 범위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6236"/>
          </w:tcPr>
          <w:p>
            <w:r>
              <w:t>[ ] 형태, 용해, 투입 순서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6236"/>
          </w:tcPr>
          <w:p>
            <w:r>
              <w:t>[ ] 접촉하는 포장재와 설비 재질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6236"/>
          </w:tcPr>
          <w:p>
            <w:r>
              <w:t>[ ] 냄새, 색, 외관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6236"/>
          </w:tcPr>
          <w:p>
            <w:r>
              <w:t>[ ] 혼합물 분류 재확인(EU CLP 제15조와 그 밖의 시장)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6236"/>
          </w:tcPr>
          <w:p>
            <w:r>
              <w:t>[ ] 후보 자체 SDS의 유해성과 취급 정보 반영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</w:tbl>
    <w:p/>
    <w:p>
      <w:r>
        <w:t>주의 또는 부적합 사유:</w:t>
      </w:r>
    </w:p>
    <w:p>
      <w:pPr>
        <w:spacing w:after="120"/>
      </w:pPr>
      <w:r>
        <w:t>______________________________________________________________________________________</w:t>
      </w:r>
    </w:p>
    <w:p>
      <w:pPr>
        <w:spacing w:after="120"/>
      </w:pPr>
      <w:r>
        <w:t>______________________________________________________________________________________</w:t>
      </w:r>
    </w:p>
    <w:p>
      <w:pPr>
        <w:spacing w:after="120"/>
      </w:pPr>
      <w:r>
        <w:t>______________________________________________________________________________________</w:t>
      </w:r>
    </w:p>
    <w:p>
      <w:pPr>
        <w:pStyle w:val="Heading1"/>
      </w:pPr>
      <w:r>
        <w:t>5. 재검증 범위</w:t>
      </w:r>
    </w:p>
    <w:p>
      <w:r>
        <w:t>항목마다 예 또는 아니요를 표시합니다. 아니요에는 모두 사유를 적습니다.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535"/>
            <w:shd w:val="clear" w:color="auto" w:fill="E7E6E6"/>
          </w:tcPr>
          <w:p>
            <w:r>
              <w:t>항목</w:t>
            </w:r>
          </w:p>
        </w:tc>
        <w:tc>
          <w:tcPr>
            <w:tcW w:type="dxa" w:w="1417"/>
            <w:shd w:val="clear" w:color="auto" w:fill="E7E6E6"/>
          </w:tcPr>
          <w:p>
            <w:r>
              <w:t>예 / 아니요</w:t>
            </w:r>
          </w:p>
        </w:tc>
        <w:tc>
          <w:tcPr>
            <w:tcW w:type="dxa" w:w="3685"/>
            <w:shd w:val="clear" w:color="auto" w:fill="E7E6E6"/>
          </w:tcPr>
          <w:p>
            <w:r>
              <w:t>조건 또는 사유</w:t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>
              <w:t>출하 규격 시험: ____________</w:t>
            </w:r>
          </w:p>
        </w:tc>
        <w:tc>
          <w:tcPr>
            <w:tcW w:type="dxa" w:w="1417"/>
          </w:tcPr>
          <w:p>
            <w:r>
              <w:t>[ ] 예  [ ] 아니요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>
              <w:t>출하 규격 시험: ____________</w:t>
            </w:r>
          </w:p>
        </w:tc>
        <w:tc>
          <w:tcPr>
            <w:tcW w:type="dxa" w:w="1417"/>
          </w:tcPr>
          <w:p>
            <w:r>
              <w:t>[ ] 예  [ ] 아니요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>
              <w:t>출하 규격 시험: ____________</w:t>
            </w:r>
          </w:p>
        </w:tc>
        <w:tc>
          <w:tcPr>
            <w:tcW w:type="dxa" w:w="1417"/>
          </w:tcPr>
          <w:p>
            <w:r>
              <w:t>[ ] 예  [ ] 아니요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>
              <w:t>유통기한 안정성(보관 온도, °C; 기간, 개월)</w:t>
            </w:r>
          </w:p>
        </w:tc>
        <w:tc>
          <w:tcPr>
            <w:tcW w:type="dxa" w:w="1417"/>
          </w:tcPr>
          <w:p>
            <w:r>
              <w:t>[ ] 예  [ ] 아니요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>
              <w:t>사용 조건 상용성(희석수, 소재, 다른 제품)</w:t>
            </w:r>
          </w:p>
        </w:tc>
        <w:tc>
          <w:tcPr>
            <w:tcW w:type="dxa" w:w="1417"/>
          </w:tcPr>
          <w:p>
            <w:r>
              <w:t>[ ] 예  [ ] 아니요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>
              <w:t>SDS 개정</w:t>
            </w:r>
          </w:p>
        </w:tc>
        <w:tc>
          <w:tcPr>
            <w:tcW w:type="dxa" w:w="1417"/>
          </w:tcPr>
          <w:p>
            <w:r>
              <w:t>[ ] 예  [ ] 아니요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>
              <w:t>라벨 개정</w:t>
            </w:r>
          </w:p>
        </w:tc>
        <w:tc>
          <w:tcPr>
            <w:tcW w:type="dxa" w:w="1417"/>
          </w:tcPr>
          <w:p>
            <w:r>
              <w:t>[ ] 예  [ ] 아니요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>
              <w:t>혼합물 분류 평가</w:t>
            </w:r>
          </w:p>
        </w:tc>
        <w:tc>
          <w:tcPr>
            <w:tcW w:type="dxa" w:w="1417"/>
          </w:tcPr>
          <w:p>
            <w:r>
              <w:t>[ ] 예  [ ] 아니요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>
              <w:t>고객 통보(고객별 계약에 따름)</w:t>
            </w:r>
          </w:p>
        </w:tc>
        <w:tc>
          <w:tcPr>
            <w:tcW w:type="dxa" w:w="1417"/>
          </w:tcPr>
          <w:p>
            <w:r>
              <w:t>[ ] 예  [ ] 아니요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>
              <w:t>변경관리(MOC) 기록(적용 대상 공정)</w:t>
            </w:r>
          </w:p>
        </w:tc>
        <w:tc>
          <w:tcPr>
            <w:tcW w:type="dxa" w:w="1417"/>
          </w:tcPr>
          <w:p>
            <w:r>
              <w:t>[ ] 예  [ ] 아니요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>
              <w:t>시장별 등록 또는 신고</w:t>
            </w:r>
          </w:p>
        </w:tc>
        <w:tc>
          <w:tcPr>
            <w:tcW w:type="dxa" w:w="1417"/>
          </w:tcPr>
          <w:p>
            <w:r>
              <w:t>[ ] 예  [ ] 아니요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>
              <w:t>기타: ____________</w:t>
            </w:r>
          </w:p>
        </w:tc>
        <w:tc>
          <w:tcPr>
            <w:tcW w:type="dxa" w:w="1417"/>
          </w:tcPr>
          <w:p>
            <w:r>
              <w:t>[ ] 예  [ ] 아니요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6. 합격 기준, 중단 기준, 서명</w:t>
      </w:r>
    </w:p>
    <w:p>
      <w:r>
        <w:t>다시 하는 시험마다 합격 기준을 하나씩 적습니다. 첫 벤치 배치 전에 확정합니다.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551"/>
            <w:shd w:val="clear" w:color="auto" w:fill="E7E6E6"/>
          </w:tcPr>
          <w:p>
            <w:r>
              <w:t>반응값</w:t>
            </w:r>
          </w:p>
        </w:tc>
        <w:tc>
          <w:tcPr>
            <w:tcW w:type="dxa" w:w="2835"/>
            <w:shd w:val="clear" w:color="auto" w:fill="E7E6E6"/>
          </w:tcPr>
          <w:p>
            <w:r>
              <w:t>기준값, 단위, 방향</w:t>
            </w:r>
          </w:p>
        </w:tc>
        <w:tc>
          <w:tcPr>
            <w:tcW w:type="dxa" w:w="2551"/>
            <w:shd w:val="clear" w:color="auto" w:fill="E7E6E6"/>
          </w:tcPr>
          <w:p>
            <w:r>
              <w:t>방법</w:t>
            </w:r>
          </w:p>
        </w:tc>
        <w:tc>
          <w:tcPr>
            <w:tcW w:type="dxa" w:w="1701"/>
            <w:shd w:val="clear" w:color="auto" w:fill="E7E6E6"/>
          </w:tcPr>
          <w:p>
            <w:r>
              <w:t>확인 시점</w:t>
            </w:r>
          </w:p>
        </w:tc>
      </w:tr>
      <w:tr>
        <w:trPr>
          <w:trHeight w:val="454"/>
        </w:trPr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535"/>
            <w:shd w:val="clear" w:color="auto" w:fill="E7E6E6"/>
          </w:tcPr>
          <w:p>
            <w:r>
              <w:t>중단 기준(관찰할 수 있는 실패)</w:t>
            </w:r>
          </w:p>
        </w:tc>
        <w:tc>
          <w:tcPr>
            <w:tcW w:type="dxa" w:w="2268"/>
            <w:shd w:val="clear" w:color="auto" w:fill="E7E6E6"/>
          </w:tcPr>
          <w:p>
            <w:r>
              <w:t>확인 시점</w:t>
            </w:r>
          </w:p>
        </w:tc>
        <w:tc>
          <w:tcPr>
            <w:tcW w:type="dxa" w:w="2835"/>
            <w:shd w:val="clear" w:color="auto" w:fill="E7E6E6"/>
          </w:tcPr>
          <w:p>
            <w:r>
              <w:t>조건</w:t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5102"/>
            <w:shd w:val="clear" w:color="auto" w:fill="E7E6E6"/>
          </w:tcPr>
          <w:p>
            <w:r>
              <w:t>서명</w:t>
            </w:r>
          </w:p>
        </w:tc>
        <w:tc>
          <w:tcPr>
            <w:tcW w:type="dxa" w:w="4535"/>
            <w:shd w:val="clear" w:color="auto" w:fill="E7E6E6"/>
          </w:tcPr>
          <w:p>
            <w:r>
              <w:t>기재</w:t>
            </w:r>
          </w:p>
        </w:tc>
      </w:tr>
      <w:tr>
        <w:trPr>
          <w:trHeight w:val="510"/>
        </w:trPr>
        <w:tc>
          <w:tcPr>
            <w:tcW w:type="dxa" w:w="5102"/>
          </w:tcPr>
          <w:p>
            <w:r>
              <w:t>기준 승인자(이름, 직책)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102"/>
          </w:tcPr>
          <w:p>
            <w:r>
              <w:t>승인일(YYYY-MM-DD), 배치 1 전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102"/>
          </w:tcPr>
          <w:p>
            <w:r>
              <w:t>벤치 작업 후 결정: [ ] 후보 ___ 채택  [ ] 2차 시험  [ ] 중단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</w:r>
          </w:p>
        </w:tc>
      </w:tr>
    </w:tbl>
    <w:p/>
    <w:p>
      <w:r>
        <w:br w:type="page"/>
      </w:r>
    </w:p>
    <w:p>
      <w:pPr>
        <w:pStyle w:val="Heading1"/>
      </w:pPr>
      <w:r>
        <w:t>설명용 예시(서식에 포함되지 않음)</w:t>
      </w:r>
    </w:p>
    <w:p>
      <w:r>
        <w:t>아래 값은 모두 어느 정도까지 자세히 적는지 보여 주려고 지어낸 값입니다. 실제 제품, 공급사, 시험의 데이터가 아닙니다.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2268"/>
            <w:shd w:val="clear" w:color="auto" w:fill="E7E6E6"/>
          </w:tcPr>
          <w:p>
            <w:r>
              <w:t>섹션</w:t>
            </w:r>
          </w:p>
        </w:tc>
        <w:tc>
          <w:tcPr>
            <w:tcW w:type="dxa" w:w="7370"/>
            <w:shd w:val="clear" w:color="auto" w:fill="E7E6E6"/>
          </w:tcPr>
          <w:p>
            <w:r>
              <w:t>설명용 기재 내용</w:t>
            </w:r>
          </w:p>
        </w:tc>
      </w:tr>
      <w:tr>
        <w:tc>
          <w:tcPr>
            <w:tcW w:type="dxa" w:w="2268"/>
          </w:tcPr>
          <w:p>
            <w:r>
              <w:t>1. 빠지는 원료</w:t>
            </w:r>
          </w:p>
        </w:tc>
        <w:tc>
          <w:tcPr>
            <w:tcW w:type="dxa" w:w="7370"/>
          </w:tcPr>
          <w:p>
            <w:r>
              <w:t>트리에탄올아민 99, CAS 102-71-6; 납품 상태 기준 8.0 wt%, 유효 성분 기준 7.9 wt%; 사유: 공급; 최종 주문 2027-03-31</w:t>
            </w:r>
          </w:p>
        </w:tc>
      </w:tr>
      <w:tr>
        <w:tc>
          <w:tcPr>
            <w:tcW w:type="dxa" w:w="2268"/>
          </w:tcPr>
          <w:p>
            <w:r>
              <w:t>2. 기능</w:t>
            </w:r>
          </w:p>
        </w:tc>
        <w:tc>
          <w:tcPr>
            <w:tcW w:type="dxa" w:w="7370"/>
          </w:tcPr>
          <w:p>
            <w:r>
              <w:t>일 1: 5 % 희석액 pH 9.2(핵심). 일 2: 지방산 패키지를 중화해 원액을 투명하게 유지하는 아민 비누를 만듦(핵심). 공정 단계 3, 25 °C에서 투입.</w:t>
            </w:r>
          </w:p>
        </w:tc>
      </w:tr>
      <w:tr>
        <w:tc>
          <w:tcPr>
            <w:tcW w:type="dxa" w:w="2268"/>
          </w:tcPr>
          <w:p>
            <w:r>
              <w:t>3. 후보</w:t>
            </w:r>
          </w:p>
        </w:tc>
        <w:tc>
          <w:tcPr>
            <w:tcW w:type="dxa" w:w="7370"/>
          </w:tcPr>
          <w:p>
            <w:r>
              <w:t>A: 두 번째 공급사의 트리에탄올아민, CAS 102-71-6, 유효 성분 99.5 %, 투입량 7.96 wt%, SDS 2026-05-12 개정, CoA 2건. B: 모노이소프로판올아민, CAS 78-96-6, 적정으로 투입량 결정.</w:t>
            </w:r>
          </w:p>
        </w:tc>
      </w:tr>
      <w:tr>
        <w:tc>
          <w:tcPr>
            <w:tcW w:type="dxa" w:w="2268"/>
          </w:tcPr>
          <w:p>
            <w:r>
              <w:t>4. 상용성</w:t>
            </w:r>
          </w:p>
        </w:tc>
        <w:tc>
          <w:tcPr>
            <w:tcW w:type="dxa" w:w="7370"/>
          </w:tcPr>
          <w:p>
            <w:r>
              <w:t>A: 모든 항목 적합. B: 비누 투명도와 냄새 주의; 자체 유해성 분류가 있어 SDS 검토.</w:t>
            </w:r>
          </w:p>
        </w:tc>
      </w:tr>
      <w:tr>
        <w:tc>
          <w:tcPr>
            <w:tcW w:type="dxa" w:w="2268"/>
          </w:tcPr>
          <w:p>
            <w:r>
              <w:t>5. 재검증</w:t>
            </w:r>
          </w:p>
        </w:tc>
        <w:tc>
          <w:tcPr>
            <w:tcW w:type="dxa" w:w="7370"/>
          </w:tcPr>
          <w:p>
            <w:r>
              <w:t>예: pH, 원액 투명도, 에멀션 안정성, 규격의 철 부식 시험, 40 °C 3개월 안정성, SDS 검토. 아니요: 후보 A의 라벨, 사유: 같은 성분이고 분류가 바뀌지 않음.</w:t>
            </w:r>
          </w:p>
        </w:tc>
      </w:tr>
      <w:tr>
        <w:tc>
          <w:tcPr>
            <w:tcW w:type="dxa" w:w="2268"/>
          </w:tcPr>
          <w:p>
            <w:r>
              <w:t>6. 기준</w:t>
            </w:r>
          </w:p>
        </w:tc>
        <w:tc>
          <w:tcPr>
            <w:tcW w:type="dxa" w:w="7370"/>
          </w:tcPr>
          <w:p>
            <w:r>
              <w:t>5 % 희석액 pH 9.0~9.5; 20 °C에서 원액 투명. 중단: 24 h, 5 °C에서 눈에 보이는 층이 생김. 배치 1 전에 실험실 책임자 승인.</w:t>
            </w:r>
          </w:p>
        </w:tc>
      </w:tr>
    </w:tbl>
    <w:p/>
    <w:sectPr w:rsidR="00FC693F" w:rsidRPr="0006063C" w:rsidSect="00034616">
      <w:footerReference w:type="default" r:id="rId9"/>
      <w:headerReference w:type="default" r:id="rId10"/>
      <w:pgSz w:w="11906" w:h="16838"/>
      <w:pgMar w:top="1417" w:right="1134" w:bottom="1417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서식 출처: www.lubinpla.com/ko/post/raw-material-substitution-checklist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cstheme="minorBidi" w:eastAsia="Malgun Gothic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Malgun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cstheme="majorBidi" w:ascii="Arial" w:hAnsi="Arial" w:eastAsia="Malgun Gothic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cstheme="majorBidi" w:ascii="Arial" w:hAnsi="Arial" w:eastAsia="Malgun Gothic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cstheme="majorBidi" w:eastAsia="Malgun Gothic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cstheme="majorBidi" w:eastAsia="Malgun Gothic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cstheme="majorBidi" w:eastAsia="Malgun Gothic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hAnsiTheme="majorHAnsi" w:cstheme="majorBidi" w:ascii="Arial" w:hAnsi="Arial" w:eastAsia="Malgun Gothic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 w:eastAsia="Malgun Gothic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cstheme="majorBidi" w:eastAsia="Malgun Gothic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cstheme="majorBidi" w:eastAsia="Malgun Gothic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원료 대체 체크리스트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