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eastAsia="Malgun Gothic"/>
        </w:rPr>
        <w:t>거래처 기술 검토</w:t>
      </w:r>
    </w:p>
    <w:p>
      <w:r>
        <w:rPr>
          <w:rFonts w:eastAsia="Malgun Gothic"/>
        </w:rPr>
        <w:t>화학 공급사가 고객사 한 곳에 한 기간 동안 제공한 기술 지원을 검토할 때 씁니다.</w:t>
      </w:r>
    </w:p>
    <w:p>
      <w:pPr>
        <w:pStyle w:val="Heading1"/>
      </w:pPr>
      <w:r>
        <w:rPr>
          <w:rFonts w:eastAsia="Malgun Gothic"/>
        </w:rPr>
        <w:t>작성 방법</w:t>
      </w:r>
    </w:p>
    <w:p>
      <w:pPr>
        <w:pStyle w:val="ListNumber"/>
      </w:pPr>
      <w:r>
        <w:rPr>
          <w:rFonts w:eastAsia="Malgun Gothic"/>
        </w:rPr>
        <w:t>섹션 1부터 작성합니다. 섹션 1에서 정한 고객사, 기간, 범위 안에 드는 기록만 읽습니다.</w:t>
      </w:r>
    </w:p>
    <w:p>
      <w:pPr>
        <w:pStyle w:val="ListNumber"/>
      </w:pPr>
      <w:r>
        <w:rPr>
          <w:rFonts w:eastAsia="Malgun Gothic"/>
        </w:rPr>
        <w:t>섹션 2~4를 쓰기 전에 내부 공개 계획(양식 마지막 페이지)을 채웁니다. 이 계획은 고객에게 보내지 않습니다.</w:t>
      </w:r>
    </w:p>
    <w:p>
      <w:pPr>
        <w:pStyle w:val="ListNumber"/>
      </w:pPr>
      <w:r>
        <w:rPr>
          <w:rFonts w:eastAsia="Malgun Gothic"/>
        </w:rPr>
        <w:t>이슈별 상태: 해결 = 기록이 결과를 확인해 줌, 진행 중 = 조치는 했으나 결과 미확인, 미해결 = 아직 효과를 본 조치가 없음.</w:t>
      </w:r>
    </w:p>
    <w:p>
      <w:pPr>
        <w:pStyle w:val="ListNumber"/>
      </w:pPr>
      <w:r>
        <w:rPr>
          <w:rFonts w:eastAsia="Malgun Gothic"/>
        </w:rPr>
        <w:t>가능성은 백분율이 아니라 말(가능성 낮음, 가능성 있음, 가능성 높음)로 적습니다. 거래 관계는 위험 평가에 반영하지 않습니다.</w:t>
      </w:r>
    </w:p>
    <w:p>
      <w:pPr>
        <w:pStyle w:val="ListNumber"/>
      </w:pPr>
      <w:r>
        <w:rPr>
          <w:rFonts w:eastAsia="Malgun Gothic"/>
        </w:rPr>
        <w:t>빈칸에는 미확인이나 추정이라고 적습니다. 행을 지우지 않습니다.</w:t>
      </w:r>
    </w:p>
    <w:p>
      <w:pPr>
        <w:pStyle w:val="ListNumber"/>
      </w:pPr>
      <w:r>
        <w:rPr>
          <w:rFonts w:eastAsia="Malgun Gothic"/>
        </w:rPr>
        <w:t>기술 사건과 연결한 매출, 주문, 이익, 재고, 매출채권 수치에는 출처 이름(예: ERP 시스템)과 자체 기준일이 있어야 합니다. 제외한 값은 제외한 채로 두고, 0으로 적지 않습니다.</w:t>
      </w:r>
    </w:p>
    <w:p>
      <w:pPr>
        <w:pStyle w:val="ListNumber"/>
      </w:pPr>
      <w:r>
        <w:rPr>
          <w:rFonts w:eastAsia="Malgun Gothic"/>
        </w:rPr>
        <w:t>고객 사본을 만들 때는 공개 계획과 예시 페이지를 빼고, 일반화 항목을 해당 문장으로 바꿉니다.</w:t>
      </w:r>
    </w:p>
    <w:p>
      <w:pPr>
        <w:pStyle w:val="ListNumber"/>
      </w:pPr>
      <w:r>
        <w:rPr>
          <w:rFonts w:eastAsia="Malgun Gothic"/>
        </w:rPr>
        <w:t>마지막 페이지의 예시는 지어낸 가상 예입니다. 보내지 않습니다.</w:t>
      </w:r>
    </w:p>
    <w:p>
      <w:r>
        <w:br w:type="page"/>
      </w:r>
    </w:p>
    <w:p>
      <w:pPr>
        <w:pStyle w:val="Heading1"/>
      </w:pPr>
      <w:r>
        <w:rPr>
          <w:rFonts w:eastAsia="Malgun Gothic"/>
        </w:rPr>
        <w:t>1. 검토 기간과 지원 범위</w:t>
      </w:r>
    </w:p>
    <w:p>
      <w:r>
        <w:rPr>
          <w:rFonts w:eastAsia="Malgun Gothic"/>
          <w:b/>
        </w:rPr>
        <w:t xml:space="preserve">고객사와 현장(이름, 위치): </w:t>
      </w:r>
      <w:r>
        <w:rPr>
          <w:rFonts w:eastAsia="Malgun Gothic"/>
        </w:rPr>
        <w:t>_______________________________________________________</w:t>
      </w:r>
    </w:p>
    <w:p>
      <w:r>
        <w:rPr>
          <w:rFonts w:eastAsia="Malgun Gothic"/>
          <w:b/>
        </w:rPr>
        <w:t xml:space="preserve">검토 기간(YYYY-MM~YYYY-MM): </w:t>
      </w:r>
      <w:r>
        <w:rPr>
          <w:rFonts w:eastAsia="Malgun Gothic"/>
        </w:rPr>
        <w:t>_______________________________________________________</w:t>
      </w:r>
    </w:p>
    <w:p>
      <w:r>
        <w:rPr>
          <w:rFonts w:eastAsia="Malgun Gothic"/>
          <w:b/>
        </w:rPr>
        <w:t xml:space="preserve">개월 수(개월, 12개월 미만이면 이유): </w:t>
      </w:r>
      <w:r>
        <w:rPr>
          <w:rFonts w:eastAsia="Malgun Gothic"/>
        </w:rPr>
        <w:t>_______________________________________________________</w:t>
      </w:r>
    </w:p>
    <w:p>
      <w:r>
        <w:rPr>
          <w:rFonts w:eastAsia="Malgun Gothic"/>
          <w:b/>
        </w:rPr>
        <w:t xml:space="preserve">대상 공정과 제품: </w:t>
      </w:r>
      <w:r>
        <w:rPr>
          <w:rFonts w:eastAsia="Malgun Gothic"/>
        </w:rPr>
        <w:t>_______________________________________________________</w:t>
      </w:r>
    </w:p>
    <w:p>
      <w:r>
        <w:rPr>
          <w:rFonts w:eastAsia="Malgun Gothic"/>
        </w:rPr>
        <w:t>_____________________________________________________________________________________</w:t>
      </w:r>
    </w:p>
    <w:p>
      <w:r>
        <w:rPr>
          <w:rFonts w:eastAsia="Malgun Gothic"/>
          <w:b/>
        </w:rPr>
        <w:t xml:space="preserve">기간 중 합의한 지원 범위: </w:t>
      </w:r>
      <w:r>
        <w:rPr>
          <w:rFonts w:eastAsia="Malgun Gothic"/>
        </w:rPr>
        <w:t>_______________________________________________________</w:t>
      </w:r>
    </w:p>
    <w:p>
      <w:r>
        <w:rPr>
          <w:rFonts w:eastAsia="Malgun Gothic"/>
        </w:rPr>
        <w:t>_____________________________________________________________________________________</w:t>
      </w:r>
    </w:p>
    <w:p>
      <w:r>
        <w:rPr>
          <w:rFonts w:eastAsia="Malgun Gothic"/>
          <w:b/>
        </w:rPr>
        <w:t xml:space="preserve">수신자(이름, 역할, 소속): </w:t>
      </w:r>
      <w:r>
        <w:rPr>
          <w:rFonts w:eastAsia="Malgun Gothic"/>
        </w:rPr>
        <w:t>_______________________________________________________</w:t>
      </w:r>
    </w:p>
    <w:p>
      <w:r>
        <w:rPr>
          <w:rFonts w:eastAsia="Malgun Gothic"/>
          <w:b/>
        </w:rPr>
        <w:t xml:space="preserve">공개 범위(내부에 두는 내용): </w:t>
      </w:r>
      <w:r>
        <w:rPr>
          <w:rFonts w:eastAsia="Malgun Gothic"/>
        </w:rPr>
        <w:t>_______________________________________________________</w:t>
      </w:r>
    </w:p>
    <w:p>
      <w:r>
        <w:rPr>
          <w:rFonts w:eastAsia="Malgun Gothic"/>
        </w:rPr>
        <w:t>_____________________________________________________________________________________</w:t>
      </w:r>
    </w:p>
    <w:p>
      <w:r>
        <w:rPr>
          <w:rFonts w:eastAsia="Malgun Gothic"/>
          <w:b/>
        </w:rPr>
        <w:t xml:space="preserve">사용한 기록 유형(방문 보고서, 분석 보고서, 불만, 사용량 기록, SDS 개정): </w:t>
      </w:r>
      <w:r>
        <w:rPr>
          <w:rFonts w:eastAsia="Malgun Gothic"/>
        </w:rPr>
        <w:t>_______________________________________________________</w:t>
      </w:r>
    </w:p>
    <w:p>
      <w:r>
        <w:rPr>
          <w:rFonts w:eastAsia="Malgun Gothic"/>
          <w:b/>
        </w:rPr>
        <w:t xml:space="preserve">기록 기준일(YYYY-MM-DD): </w:t>
      </w:r>
      <w:r>
        <w:rPr>
          <w:rFonts w:eastAsia="Malgun Gothic"/>
        </w:rPr>
        <w:t>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eastAsia="Malgun Gothic"/>
        </w:rPr>
        <w:t>2. 지원 활동, 조치, 처리 상태</w:t>
      </w:r>
    </w:p>
    <w:p>
      <w:pPr>
        <w:pStyle w:val="Heading2"/>
      </w:pPr>
      <w:r>
        <w:rPr>
          <w:rFonts w:eastAsia="Malgun Gothic"/>
        </w:rPr>
        <w:t>2.1 지난 검토에서 합의한 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835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합의한 조치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담당자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결과: [ ] 완료  [ ] 일부 완료  [ ] 미완료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날짜와 근거</w:t>
            </w:r>
          </w:p>
        </w:tc>
      </w:tr>
      <w:tr>
        <w:trPr>
          <w:trHeight w:val="510"/>
        </w:trPr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/>
    <w:p>
      <w:pPr>
        <w:pStyle w:val="Heading2"/>
      </w:pPr>
      <w:r>
        <w:rPr>
          <w:rFonts w:eastAsia="Malgun Gothic"/>
        </w:rPr>
        <w:t>2.2 이슈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24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날짜(YYYY-MM-DD)</w:t>
            </w:r>
          </w:p>
        </w:tc>
        <w:tc>
          <w:tcPr>
            <w:tcW w:type="dxa" w:w="158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공정과 제품</w:t>
            </w:r>
          </w:p>
        </w:tc>
        <w:tc>
          <w:tcPr>
            <w:tcW w:type="dxa" w:w="158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이슈</w:t>
            </w:r>
          </w:p>
        </w:tc>
        <w:tc>
          <w:tcPr>
            <w:tcW w:type="dxa" w:w="181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지원 활동과 조치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결과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상태: 해결 / 진행 중 / 미해결</w:t>
            </w:r>
          </w:p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814"/>
          </w:tcPr>
          <w:p/>
        </w:tc>
        <w:tc>
          <w:tcPr>
            <w:tcW w:type="dxa" w:w="1417"/>
          </w:tcPr>
          <w:p/>
        </w:tc>
        <w:tc>
          <w:tcPr>
            <w:tcW w:type="dxa" w:w="1417"/>
          </w:tcPr>
          <w:p/>
        </w:tc>
      </w:tr>
    </w:tbl>
    <w:p/>
    <w:p>
      <w:pPr>
        <w:pStyle w:val="Heading2"/>
      </w:pPr>
      <w:r>
        <w:rPr>
          <w:rFonts w:eastAsia="Malgun Gothic"/>
        </w:rPr>
        <w:t>2.3 기간 중 불만과 SDS 개정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41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날짜</w:t>
            </w:r>
          </w:p>
        </w:tc>
        <w:tc>
          <w:tcPr>
            <w:tcW w:type="dxa" w:w="3969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불만 또는 SDS 개정(제품, 개정 번호)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기록 참조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상태</w:t>
            </w:r>
          </w:p>
        </w:tc>
      </w:tr>
      <w:tr>
        <w:trPr>
          <w:trHeight w:val="510"/>
        </w:trPr>
        <w:tc>
          <w:tcPr>
            <w:tcW w:type="dxa" w:w="1417"/>
          </w:tcPr>
          <w:p/>
        </w:tc>
        <w:tc>
          <w:tcPr>
            <w:tcW w:type="dxa" w:w="3969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</w:tr>
      <w:tr>
        <w:trPr>
          <w:trHeight w:val="510"/>
        </w:trPr>
        <w:tc>
          <w:tcPr>
            <w:tcW w:type="dxa" w:w="1417"/>
          </w:tcPr>
          <w:p/>
        </w:tc>
        <w:tc>
          <w:tcPr>
            <w:tcW w:type="dxa" w:w="3969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</w:tr>
      <w:tr>
        <w:trPr>
          <w:trHeight w:val="510"/>
        </w:trPr>
        <w:tc>
          <w:tcPr>
            <w:tcW w:type="dxa" w:w="1417"/>
          </w:tcPr>
          <w:p/>
        </w:tc>
        <w:tc>
          <w:tcPr>
            <w:tcW w:type="dxa" w:w="3969"/>
          </w:tcPr>
          <w:p/>
        </w:tc>
        <w:tc>
          <w:tcPr>
            <w:tcW w:type="dxa" w:w="1984"/>
          </w:tcPr>
          <w:p/>
        </w:tc>
        <w:tc>
          <w:tcPr>
            <w:tcW w:type="dxa" w:w="1701"/>
          </w:tcPr>
          <w:p/>
        </w:tc>
      </w:tr>
    </w:tbl>
    <w:p/>
    <w:p>
      <w:pPr>
        <w:pStyle w:val="Heading2"/>
      </w:pPr>
      <w:r>
        <w:rPr>
          <w:rFonts w:eastAsia="Malgun Gothic"/>
        </w:rPr>
        <w:t>2.4 주요 제품: 목표 조건 대비 월별 사용량</w:t>
      </w:r>
    </w:p>
    <w:p>
      <w:r>
        <w:rPr>
          <w:rFonts w:eastAsia="Malgun Gothic"/>
          <w:b/>
        </w:rPr>
        <w:t xml:space="preserve">주요 제품(이름과 등급): </w:t>
      </w:r>
      <w:r>
        <w:rPr>
          <w:rFonts w:eastAsia="Malgun Gothic"/>
        </w:rPr>
        <w:t>_______________________________________________________</w:t>
      </w:r>
    </w:p>
    <w:p>
      <w:r>
        <w:rPr>
          <w:rFonts w:eastAsia="Malgun Gothic"/>
          <w:b/>
        </w:rPr>
        <w:t xml:space="preserve">목표 조건과 허용 범위(항목, 단위, 하한~상한, 출처): </w:t>
      </w:r>
      <w:r>
        <w:rPr>
          <w:rFonts w:eastAsia="Malgun Gothic"/>
        </w:rPr>
        <w:t>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월(YYYY-MM)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사용량(kg 또는 L)</w:t>
            </w:r>
          </w:p>
        </w:tc>
        <w:tc>
          <w:tcPr>
            <w:tcW w:type="dxa" w:w="311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목표 조건 월평균(단위: ____)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범위 내? [ ] 예 [ ] 아니요</w:t>
            </w:r>
          </w:p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397"/>
        </w:trPr>
        <w:tc>
          <w:tcPr>
            <w:tcW w:type="dxa" w:w="1701"/>
          </w:tcPr>
          <w:p/>
        </w:tc>
        <w:tc>
          <w:tcPr>
            <w:tcW w:type="dxa" w:w="1984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</w:tbl>
    <w:p/>
    <w:p>
      <w:pPr>
        <w:pStyle w:val="Heading2"/>
      </w:pPr>
      <w:r>
        <w:rPr>
          <w:rFonts w:eastAsia="Malgun Gothic"/>
        </w:rPr>
        <w:t>2.5 제공한 가치(선택)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주장하는 효과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기준선(값, 단위, 날짜)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측정값(값, 단위, 날짜)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뒷받침하는 기록(기준선 없음 = 입증 안 됨)</w:t>
            </w:r>
          </w:p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/>
    <w:p>
      <w:r>
        <w:br w:type="page"/>
      </w:r>
    </w:p>
    <w:p>
      <w:pPr>
        <w:pStyle w:val="Heading1"/>
      </w:pPr>
      <w:r>
        <w:rPr>
          <w:rFonts w:eastAsia="Malgun Gothic"/>
        </w:rPr>
        <w:t>3. 남은 위험</w:t>
      </w:r>
    </w:p>
    <w:p>
      <w:r>
        <w:rPr>
          <w:rFonts w:eastAsia="Malgun Gothic"/>
        </w:rPr>
        <w:t>남은 위험이 없으면 그렇다고 한 문장으로 적습니다: 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위험: 고객 공정에서 무엇이 잘못될 수 있는지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유형: 품질 / 안전 / 공급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가능성(말로)</w:t>
            </w:r>
          </w:p>
        </w:tc>
        <w:tc>
          <w:tcPr>
            <w:tcW w:type="dxa" w:w="147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영향</w:t>
            </w:r>
          </w:p>
        </w:tc>
        <w:tc>
          <w:tcPr>
            <w:tcW w:type="dxa" w:w="136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긴급도: 즉시 조치 / 관찰 / 조치 불필요</w:t>
            </w:r>
          </w:p>
        </w:tc>
        <w:tc>
          <w:tcPr>
            <w:tcW w:type="dxa" w:w="147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해소할 관찰(즉시 조치 위험)</w:t>
            </w:r>
          </w:p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  <w:tc>
          <w:tcPr>
            <w:tcW w:type="dxa" w:w="1361"/>
          </w:tcPr>
          <w:p/>
        </w:tc>
        <w:tc>
          <w:tcPr>
            <w:tcW w:type="dxa" w:w="1474"/>
          </w:tcPr>
          <w:p/>
        </w:tc>
      </w:tr>
    </w:tbl>
    <w:p/>
    <w:p>
      <w:r>
        <w:br w:type="page"/>
      </w:r>
    </w:p>
    <w:p>
      <w:pPr>
        <w:pStyle w:val="Heading1"/>
      </w:pPr>
      <w:r>
        <w:rPr>
          <w:rFonts w:eastAsia="Malgun Gothic"/>
        </w:rPr>
        <w:t>4. 후속 조치와 지원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55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조치</w:t>
            </w:r>
          </w:p>
        </w:tc>
        <w:tc>
          <w:tcPr>
            <w:tcW w:type="dxa" w:w="158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공급사 측 담당자</w:t>
            </w:r>
          </w:p>
        </w:tc>
        <w:tc>
          <w:tcPr>
            <w:tcW w:type="dxa" w:w="158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고객 측 담당자</w:t>
            </w:r>
          </w:p>
        </w:tc>
        <w:tc>
          <w:tcPr>
            <w:tcW w:type="dxa" w:w="136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기한(YYYY-MM-DD)</w:t>
            </w:r>
          </w:p>
        </w:tc>
        <w:tc>
          <w:tcPr>
            <w:tcW w:type="dxa" w:w="1984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완료 확인 방법</w:t>
            </w:r>
          </w:p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  <w:tr>
        <w:trPr>
          <w:trHeight w:val="510"/>
        </w:trPr>
        <w:tc>
          <w:tcPr>
            <w:tcW w:type="dxa" w:w="2551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</w:tr>
    </w:tbl>
    <w:p/>
    <w:p>
      <w:r>
        <w:rPr>
          <w:rFonts w:eastAsia="Malgun Gothic"/>
          <w:b/>
        </w:rPr>
        <w:t xml:space="preserve">다음 검토일(YYYY-MM-DD): </w:t>
      </w:r>
      <w:r>
        <w:rPr>
          <w:rFonts w:eastAsia="Malgun Gothic"/>
        </w:rPr>
        <w:t>_______________________________________________________</w:t>
      </w:r>
    </w:p>
    <w:p>
      <w:r>
        <w:rPr>
          <w:rFonts w:eastAsia="Malgun Gothic"/>
          <w:b/>
        </w:rPr>
        <w:t xml:space="preserve">작성자 / 날짜(이름, YYYY-MM-DD): </w:t>
      </w:r>
      <w:r>
        <w:rPr>
          <w:rFonts w:eastAsia="Malgun Gothic"/>
        </w:rPr>
        <w:t>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eastAsia="Malgun Gothic"/>
        </w:rPr>
        <w:t>내부 전용: 공개 계획(보내지 않음)</w:t>
      </w:r>
    </w:p>
    <w:p>
      <w:r>
        <w:rPr>
          <w:rFonts w:eastAsia="Malgun Gothic"/>
        </w:rPr>
        <w:t>항목마다 등급을 매깁니다: 공개 / 일반화(고객은 문장만 봄) / 내부. 내부 영업 기회 판단과 다른 고객과의 비교는 항상 내부입니다.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항목</w:t>
            </w:r>
          </w:p>
        </w:tc>
        <w:tc>
          <w:tcPr>
            <w:tcW w:type="dxa" w:w="1417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등급</w:t>
            </w:r>
          </w:p>
        </w:tc>
        <w:tc>
          <w:tcPr>
            <w:tcW w:type="dxa" w:w="311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고객 사본에 쓰는 문장(일반화 항목)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내부에 두는 이유</w:t>
            </w:r>
          </w:p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  <w:tr>
        <w:trPr>
          <w:trHeight w:val="510"/>
        </w:trPr>
        <w:tc>
          <w:tcPr>
            <w:tcW w:type="dxa" w:w="2268"/>
          </w:tcPr>
          <w:p/>
        </w:tc>
        <w:tc>
          <w:tcPr>
            <w:tcW w:type="dxa" w:w="1417"/>
          </w:tcPr>
          <w:p/>
        </w:tc>
        <w:tc>
          <w:tcPr>
            <w:tcW w:type="dxa" w:w="3118"/>
          </w:tcPr>
          <w:p/>
        </w:tc>
        <w:tc>
          <w:tcPr>
            <w:tcW w:type="dxa" w:w="2268"/>
          </w:tcPr>
          <w:p/>
        </w:tc>
      </w:tr>
    </w:tbl>
    <w:p/>
    <w:p>
      <w:r>
        <w:rPr>
          <w:rFonts w:eastAsia="Malgun Gothic"/>
        </w:rPr>
        <w:t>보내기 전:</w:t>
      </w:r>
    </w:p>
    <w:p>
      <w:r>
        <w:rPr>
          <w:rFonts w:eastAsia="Malgun Gothic"/>
        </w:rPr>
        <w:t>[ ] 수신자, 공개 범위, 기준일을 포함해 섹션 1 작성 완료</w:t>
      </w:r>
    </w:p>
    <w:p>
      <w:r>
        <w:rPr>
          <w:rFonts w:eastAsia="Malgun Gothic"/>
        </w:rPr>
        <w:t>[ ] 지난 합의 조치마다 결과가 있음</w:t>
      </w:r>
    </w:p>
    <w:p>
      <w:r>
        <w:rPr>
          <w:rFonts w:eastAsia="Malgun Gothic"/>
        </w:rPr>
        <w:t>[ ] 확인 기록 없이 해결로 표시한 이슈가 없음</w:t>
      </w:r>
    </w:p>
    <w:p>
      <w:r>
        <w:rPr>
          <w:rFonts w:eastAsia="Malgun Gothic"/>
        </w:rPr>
        <w:t>[ ] 남은 위험마다 가능성, 영향, 긴급도가 있음</w:t>
      </w:r>
    </w:p>
    <w:p>
      <w:r>
        <w:rPr>
          <w:rFonts w:eastAsia="Malgun Gothic"/>
        </w:rPr>
        <w:t>[ ] 후속 조치마다 양쪽 담당자, 기한, 완료 확인 방법이 있음</w:t>
      </w:r>
    </w:p>
    <w:p>
      <w:r>
        <w:rPr>
          <w:rFonts w:eastAsia="Malgun Gothic"/>
        </w:rPr>
        <w:t>[ ] 상업 수치마다 출처 이름과 기준일이 있고, 제외한 값을 0으로 표시한 곳이 없음</w:t>
      </w:r>
    </w:p>
    <w:p>
      <w:r>
        <w:rPr>
          <w:rFonts w:eastAsia="Malgun Gothic"/>
        </w:rPr>
        <w:t>[ ] 고객 사본에서 공개 계획과 예시 페이지를 뺌</w:t>
      </w:r>
    </w:p>
    <w:p>
      <w:r>
        <w:br w:type="page"/>
      </w:r>
    </w:p>
    <w:p>
      <w:pPr>
        <w:pStyle w:val="Heading1"/>
      </w:pPr>
      <w:r>
        <w:rPr>
          <w:rFonts w:eastAsia="Malgun Gothic"/>
        </w:rPr>
        <w:t>가상 예(실제 고객 아님)</w:t>
      </w:r>
    </w:p>
    <w:p>
      <w:r>
        <w:rPr>
          <w:rFonts w:eastAsia="Malgun Gothic"/>
        </w:rPr>
        <w:t>아래 이름, 날짜, 값은 작성한 템플릿이 어떻게 읽히는지 보여 주려고 모두 지어낸 것입니다.</w:t>
      </w:r>
    </w:p>
    <w:p>
      <w:r>
        <w:rPr>
          <w:rFonts w:eastAsia="Malgun Gothic"/>
        </w:rPr>
        <w:t>범위(예시): 한 제조 공장의 수처리 프로그램, 기간 2026-01~2026-09, 9개월, 수신자는 공장 유틸리티 관리자, 이익과 재계약 계획은 내부.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55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날짜와 이슈</w:t>
            </w:r>
          </w:p>
        </w:tc>
        <w:tc>
          <w:tcPr>
            <w:tcW w:type="dxa" w:w="255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지원 활동과 조치</w:t>
            </w:r>
          </w:p>
        </w:tc>
        <w:tc>
          <w:tcPr>
            <w:tcW w:type="dxa" w:w="2268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결과</w:t>
            </w:r>
          </w:p>
        </w:tc>
        <w:tc>
          <w:tcPr>
            <w:tcW w:type="dxa" w:w="1701"/>
            <w:shd w:val="clear" w:color="auto" w:fill="E7E6E6"/>
          </w:tcPr>
          <w:p>
            <w:r>
              <w:rPr>
                <w:rFonts w:eastAsia="Malgun Gothic"/>
                <w:b/>
                <w:sz w:val="18"/>
              </w:rPr>
              <w:t>상태</w:t>
            </w:r>
          </w:p>
        </w:tc>
      </w:tr>
      <w:tr>
        <w:tc>
          <w:tcPr>
            <w:tcW w:type="dxa" w:w="2551"/>
          </w:tcPr>
          <w:p>
            <w:r>
              <w:rPr>
                <w:rFonts w:eastAsia="Malgun Gothic"/>
                <w:sz w:val="18"/>
              </w:rPr>
              <w:t>2026-02: 냉각탑 수조 거품 발생</w:t>
            </w:r>
          </w:p>
        </w:tc>
        <w:tc>
          <w:tcPr>
            <w:tcW w:type="dxa" w:w="2551"/>
          </w:tcPr>
          <w:p>
            <w:r>
              <w:rPr>
                <w:rFonts w:eastAsia="Malgun Gothic"/>
                <w:sz w:val="18"/>
              </w:rPr>
              <w:t>현장 방문, 소포제 투입량 시험</w:t>
            </w:r>
          </w:p>
        </w:tc>
        <w:tc>
          <w:tcPr>
            <w:tcW w:type="dxa" w:w="2268"/>
          </w:tcPr>
          <w:p>
            <w:r>
              <w:rPr>
                <w:rFonts w:eastAsia="Malgun Gothic"/>
                <w:sz w:val="18"/>
              </w:rPr>
              <w:t>시험 투입량에서 거품 제어됨</w:t>
            </w:r>
          </w:p>
        </w:tc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해결</w:t>
            </w:r>
          </w:p>
        </w:tc>
      </w:tr>
      <w:tr>
        <w:tc>
          <w:tcPr>
            <w:tcW w:type="dxa" w:w="2551"/>
          </w:tcPr>
          <w:p>
            <w:r>
              <w:rPr>
                <w:rFonts w:eastAsia="Malgun Gothic"/>
                <w:sz w:val="18"/>
              </w:rPr>
              <w:t>2026-05: 부식 쿠폰 부식 속도가 목표 초과</w:t>
            </w:r>
          </w:p>
        </w:tc>
        <w:tc>
          <w:tcPr>
            <w:tcW w:type="dxa" w:w="2551"/>
          </w:tcPr>
          <w:p>
            <w:r>
              <w:rPr>
                <w:rFonts w:eastAsia="Malgun Gothic"/>
                <w:sz w:val="18"/>
              </w:rPr>
              <w:t>쿠폰 재시험, 부식 억제제 투입량 상향</w:t>
            </w:r>
          </w:p>
        </w:tc>
        <w:tc>
          <w:tcPr>
            <w:tcW w:type="dxa" w:w="2268"/>
          </w:tcPr>
          <w:p>
            <w:r>
              <w:rPr>
                <w:rFonts w:eastAsia="Malgun Gothic"/>
                <w:sz w:val="18"/>
              </w:rPr>
              <w:t>두 번째 쿠폰 세트 아직 판독 전</w:t>
            </w:r>
          </w:p>
        </w:tc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진행 중</w:t>
            </w:r>
          </w:p>
        </w:tc>
      </w:tr>
      <w:tr>
        <w:tc>
          <w:tcPr>
            <w:tcW w:type="dxa" w:w="2551"/>
          </w:tcPr>
          <w:p>
            <w:r>
              <w:rPr>
                <w:rFonts w:eastAsia="Malgun Gothic"/>
                <w:sz w:val="18"/>
              </w:rPr>
              <w:t>2026-07: 방류벽 구역 밖 드럼 보관</w:t>
            </w:r>
          </w:p>
        </w:tc>
        <w:tc>
          <w:tcPr>
            <w:tcW w:type="dxa" w:w="2551"/>
          </w:tcPr>
          <w:p>
            <w:r>
              <w:rPr>
                <w:rFonts w:eastAsia="Malgun Gothic"/>
                <w:sz w:val="18"/>
              </w:rPr>
              <w:t>방문 때 조언</w:t>
            </w:r>
          </w:p>
        </w:tc>
        <w:tc>
          <w:tcPr>
            <w:tcW w:type="dxa" w:w="2268"/>
          </w:tcPr>
          <w:p>
            <w:r>
              <w:rPr>
                <w:rFonts w:eastAsia="Malgun Gothic"/>
                <w:sz w:val="18"/>
              </w:rPr>
              <w:t>다음 방문 때도 관행 그대로</w:t>
            </w:r>
          </w:p>
        </w:tc>
        <w:tc>
          <w:tcPr>
            <w:tcW w:type="dxa" w:w="1701"/>
          </w:tcPr>
          <w:p>
            <w:r>
              <w:rPr>
                <w:rFonts w:eastAsia="Malgun Gothic"/>
                <w:sz w:val="18"/>
              </w:rPr>
              <w:t>미해결</w:t>
            </w:r>
          </w:p>
        </w:tc>
      </w:tr>
    </w:tbl>
    <w:p/>
    <w:p>
      <w:r>
        <w:rPr>
          <w:rFonts w:eastAsia="Malgun Gothic"/>
        </w:rPr>
        <w:t>위험(예시): 방류벽 구역 밖에 보관한 드럼이 새어 배수구로 흘러갈 수 있음. 가능성 있음. 영향은 신고 대상 누출. 긴급도는 즉시 조치. 해소 관찰: 다음 방문 때 드럼이 방류벽 안에 있음.</w:t>
      </w:r>
    </w:p>
    <w:p>
      <w:r>
        <w:rPr>
          <w:rFonts w:eastAsia="Malgun Gothic"/>
        </w:rPr>
        <w:t>후속 조치(예시): 드럼 보관 장소를 방류벽 안으로 옮김. 고객 측 담당자: 현장 관리자. 공급사 측 담당자: 기술 지원 엔지니어. 기한 2026-11-30. 사진 기록으로 확인.</w:t>
      </w:r>
    </w:p>
    <w:p>
      <w:r>
        <w:rPr>
          <w:rFonts w:eastAsia="Malgun Gothic"/>
        </w:rPr>
        <w:t>공개 계획 기재(예시): 거래처가 다른 프로그램으로 옮겨 갈 수 있다는 메모: 내부.</w:t>
      </w:r>
    </w:p>
    <w:sectPr w:rsidR="00FC693F" w:rsidRPr="0006063C" w:rsidSect="00034616">
      <w:footerReference w:type="default" r:id="rId9"/>
      <w:headerReference w:type="default" r:id="rId10"/>
      <w:footerReference w:type="first" r:id="rId11"/>
      <w:headerReference w:type="first" r:id="rId12"/>
      <w:pgSz w:w="11906" w:h="16838"/>
      <w:pgMar w:top="1417" w:right="1417" w:bottom="2438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eastAsia="Malgun Gothic"/>
        <w:sz w:val="16"/>
      </w:rPr>
      <w:t>서식 출처: www.lubinpla.com/ko/post/technical-account-review-template-chemical-suppliers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Malgun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eastAsia="Malgun Gothic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eastAsia="Malgun Gothic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eastAsia="Malgun Gothic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eastAsia="Malgun Gothic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eastAsia="Malgun Gothic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eastAsia="Malgun Gothic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eastAsia="Malgun Gothic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eastAsia="Malgun Gothic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eastAsia="Malgun Gothic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eastAsia="Malgun Gothic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eastAsia="Malgun Gothic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eastAsia="Malgun Gothic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eastAsia="Malgun Gothic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eastAsia="Malgun Gothic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eastAsia="Malgun Gothic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eastAsia="Malgun Gothic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eastAsia="Malgun Gothic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Malgun Gothic"/>
        <w:b/>
        <w:bCs/>
      </w:rPr>
    </w:tblStylePr>
    <w:tblStylePr w:type="lastCol">
      <w:rPr>
        <w:rFonts w:asciiTheme="majorHAnsi" w:eastAsiaTheme="majorEastAsia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eastAsia="Malgun Gothic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eastAsia="Malgun Gothic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eastAsia="Malgun Gothic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eastAsia="Malgun Gothic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eastAsia="Malgun Gothic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eastAsia="Malgun Gothic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</w:rPr>
    </w:tblStylePr>
    <w:tblStylePr w:type="lastRow">
      <w:rPr>
        <w:rFonts w:eastAsia="Malgun Gothic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eastAsia="Malgun Gothic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eastAsia="Malgun Gothic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eastAsia="Malgun Gothic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eastAsia="Malgun Gothic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eastAsia="Malgun Gothic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eastAsia="Malgun Gothic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eastAsia="Malgun Gothic"/>
        <w:color w:val="000000" w:themeColor="text1"/>
      </w:rPr>
    </w:tblStylePr>
    <w:tblStylePr w:type="nwCell">
      <w:rPr>
        <w:rFonts w:eastAsia="Malgun Gothic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eastAsia="Malgun Gothic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eastAsia="Malgun Gothic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eastAsia="Malgun Gothic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eastAsia="Malgun Gothic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eastAsia="Malgun Gothic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eastAsia="Malgun Gothic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eastAsia="Malgun Gothic"/>
        <w:b/>
        <w:bCs/>
      </w:rPr>
    </w:tblStylePr>
    <w:tblStylePr w:type="lastCol">
      <w:rPr>
        <w:rFonts w:eastAsia="Malgun Gothic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rFonts w:eastAsia="Malgun Gothic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rFonts w:eastAsia="Malgun Gothic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rFonts w:eastAsia="Malgun Gothic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rFonts w:eastAsia="Malgun Gothic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rFonts w:eastAsia="Malgun Gothic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rFonts w:eastAsia="Malgun Gothic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eastAsia="Malgun Gothic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rFonts w:eastAsia="Malgun Gothic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eastAsia="Malgun Gothic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eastAsia="Malgun Gothic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eastAsia="Malgun Gothic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footer" Target="footer2.xml"/><Relationship Id="rId1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거래처 기술 검토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